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5943600" cy="1289649"/>
            <wp:effectExtent b="0" l="0" r="0" t="0"/>
            <wp:docPr descr="Medplum" title="" id="21" name="Picture"/>
            <a:graphic>
              <a:graphicData uri="http://schemas.openxmlformats.org/drawingml/2006/picture">
                <pic:pic>
                  <pic:nvPicPr>
                    <pic:cNvPr descr="medplum-wordmark-grape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896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39" w:name="messaging-communications-decision-guide"/>
    <w:p>
      <w:pPr>
        <w:pStyle w:val="Heading1"/>
      </w:pPr>
      <w:r>
        <w:t xml:space="preserve">Messaging &amp; Communications Decision Guide</w:t>
      </w:r>
    </w:p>
    <w:p>
      <w:pPr>
        <w:pStyle w:val="FirstParagraph"/>
      </w:pPr>
      <w:r>
        <w:rPr>
          <w:iCs/>
          <w:i/>
        </w:rPr>
        <w:t xml:space="preserve">Companion to the</w:t>
      </w:r>
      <w:r>
        <w:rPr>
          <w:iCs/>
          <w:i/>
        </w:rPr>
        <w:t xml:space="preserve"> </w:t>
      </w:r>
      <w:hyperlink r:id="rId23">
        <w:r>
          <w:rPr>
            <w:rStyle w:val="Hyperlink"/>
            <w:iCs/>
            <w:i/>
          </w:rPr>
          <w:t xml:space="preserve">Messaging &amp; Communications</w:t>
        </w:r>
      </w:hyperlink>
      <w:r>
        <w:rPr>
          <w:iCs/>
          <w:i/>
        </w:rPr>
        <w:t xml:space="preserve"> </w:t>
      </w:r>
      <w:r>
        <w:rPr>
          <w:iCs/>
          <w:i/>
        </w:rPr>
        <w:t xml:space="preserve">docs.</w:t>
      </w:r>
    </w:p>
    <w:bookmarkStart w:id="24" w:name="section-1-use-case-participants"/>
    <w:p>
      <w:pPr>
        <w:pStyle w:val="Heading2"/>
      </w:pPr>
      <w:r>
        <w:t xml:space="preserve">Section 1: Use Case &amp; Participants</w:t>
      </w:r>
    </w:p>
    <w:p>
      <w:pPr>
        <w:pStyle w:val="FirstParagraph"/>
      </w:pPr>
      <w:r>
        <w:t xml:space="preserve">These questions establish the</w:t>
      </w:r>
      <w:r>
        <w:t xml:space="preserve"> </w:t>
      </w:r>
      <w:r>
        <w:t xml:space="preserve">“</w:t>
      </w:r>
      <w:r>
        <w:t xml:space="preserve">who and why</w:t>
      </w:r>
      <w:r>
        <w:t xml:space="preserve">”</w:t>
      </w:r>
      <w:r>
        <w:t xml:space="preserve"> </w:t>
      </w:r>
      <w:r>
        <w:t xml:space="preserve">before scoping any features. The answers should shape how you frame the rest of the conversation.</w:t>
      </w:r>
    </w:p>
    <w:p>
      <w:pPr>
        <w:pStyle w:val="BodyText"/>
      </w:pPr>
      <w:r>
        <w:rPr>
          <w:bCs/>
          <w:b/>
        </w:rPr>
        <w:t xml:space="preserve">1.1 Who is messaging whom?</w:t>
      </w:r>
    </w:p>
    <w:p>
      <w:pPr>
        <w:numPr>
          <w:ilvl w:val="0"/>
          <w:numId w:val="1001"/>
        </w:numPr>
        <w:pStyle w:val="Compact"/>
      </w:pPr>
      <w:r>
        <w:t xml:space="preserve">Patient ↔ provider</w:t>
      </w:r>
    </w:p>
    <w:p>
      <w:pPr>
        <w:numPr>
          <w:ilvl w:val="0"/>
          <w:numId w:val="1001"/>
        </w:numPr>
        <w:pStyle w:val="Compact"/>
      </w:pPr>
      <w:r>
        <w:t xml:space="preserve">Provider ↔ provider</w:t>
      </w:r>
    </w:p>
    <w:p>
      <w:pPr>
        <w:numPr>
          <w:ilvl w:val="0"/>
          <w:numId w:val="1001"/>
        </w:numPr>
        <w:pStyle w:val="Compact"/>
      </w:pPr>
      <w:r>
        <w:t xml:space="preserve">Care team internally (no patient in the thread)</w:t>
      </w:r>
    </w:p>
    <w:p>
      <w:pPr>
        <w:numPr>
          <w:ilvl w:val="0"/>
          <w:numId w:val="1001"/>
        </w:numPr>
        <w:pStyle w:val="Compact"/>
      </w:pPr>
      <w:r>
        <w:t xml:space="preserve">System/automated → patient (one-way notifications)</w:t>
      </w:r>
    </w:p>
    <w:p>
      <w:pPr>
        <w:numPr>
          <w:ilvl w:val="0"/>
          <w:numId w:val="1001"/>
        </w:numPr>
        <w:pStyle w:val="Compact"/>
      </w:pPr>
      <w:r>
        <w:t xml:space="preserve">Some combination of the above</w:t>
      </w:r>
    </w:p>
    <w:p>
      <w:pPr>
        <w:pStyle w:val="FirstParagraph"/>
      </w:pPr>
      <w:r>
        <w:rPr>
          <w:iCs/>
          <w:i/>
        </w:rPr>
        <w:t xml:space="preserve">Why it matters: different participant types affect access control, thread structure, and whether a patient subject is always required on a thread.</w:t>
      </w:r>
    </w:p>
    <w:p>
      <w:pPr>
        <w:pStyle w:val="BodyText"/>
      </w:pPr>
      <w:r>
        <w:rPr>
          <w:bCs/>
          <w:b/>
        </w:rPr>
        <w:t xml:space="preserve">1.2 What is the primary purpose of messaging in their product?</w:t>
      </w:r>
    </w:p>
    <w:p>
      <w:pPr>
        <w:numPr>
          <w:ilvl w:val="0"/>
          <w:numId w:val="1002"/>
        </w:numPr>
        <w:pStyle w:val="Compact"/>
      </w:pPr>
      <w:r>
        <w:t xml:space="preserve">Clinical care coordination (e.g. async visits, follow-ups)</w:t>
      </w:r>
    </w:p>
    <w:p>
      <w:pPr>
        <w:numPr>
          <w:ilvl w:val="0"/>
          <w:numId w:val="1002"/>
        </w:numPr>
        <w:pStyle w:val="Compact"/>
      </w:pPr>
      <w:r>
        <w:t xml:space="preserve">Patient engagement / support</w:t>
      </w:r>
    </w:p>
    <w:p>
      <w:pPr>
        <w:numPr>
          <w:ilvl w:val="0"/>
          <w:numId w:val="1002"/>
        </w:numPr>
        <w:pStyle w:val="Compact"/>
      </w:pPr>
      <w:r>
        <w:t xml:space="preserve">Internal operational communication</w:t>
      </w:r>
    </w:p>
    <w:p>
      <w:pPr>
        <w:numPr>
          <w:ilvl w:val="0"/>
          <w:numId w:val="1002"/>
        </w:numPr>
        <w:pStyle w:val="Compact"/>
      </w:pPr>
      <w:r>
        <w:t xml:space="preserve">Outbound notifications only (reminders, results)</w:t>
      </w:r>
    </w:p>
    <w:p>
      <w:pPr>
        <w:pStyle w:val="FirstParagraph"/>
      </w:pPr>
      <w:r>
        <w:rPr>
          <w:iCs/>
          <w:i/>
        </w:rPr>
        <w:t xml:space="preserve">Why it matters: determines how much of the feature set is actually needed and whether async encounters/billing will come up.</w:t>
      </w:r>
    </w:p>
    <w:p>
      <w:pPr>
        <w:pStyle w:val="BodyText"/>
      </w:pPr>
      <w:r>
        <w:rPr>
          <w:bCs/>
          <w:b/>
        </w:rPr>
        <w:t xml:space="preserve">1.3 Is this a new build or replacing something they have today?</w:t>
      </w:r>
    </w:p>
    <w:p>
      <w:pPr>
        <w:numPr>
          <w:ilvl w:val="0"/>
          <w:numId w:val="1003"/>
        </w:numPr>
        <w:pStyle w:val="Compact"/>
      </w:pPr>
      <w:r>
        <w:t xml:space="preserve">If replacing: what are they replacing, and what are the gaps that drove this?</w:t>
      </w:r>
    </w:p>
    <w:p>
      <w:pPr>
        <w:numPr>
          <w:ilvl w:val="0"/>
          <w:numId w:val="1003"/>
        </w:numPr>
        <w:pStyle w:val="Compact"/>
      </w:pPr>
      <w:r>
        <w:t xml:space="preserve">If new: is messaging central to the product or additive?</w:t>
      </w:r>
    </w:p>
    <w:p>
      <w:pPr>
        <w:pStyle w:val="FirstParagraph"/>
      </w:pPr>
      <w:r>
        <w:rPr>
          <w:iCs/>
          <w:i/>
        </w:rPr>
        <w:t xml:space="preserve">Why it matters: existing systems often carry assumptions about data model or UX that will surface as requirements. Knowing this early prevents surprises.</w:t>
      </w:r>
    </w:p>
    <w:p>
      <w:r>
        <w:pict>
          <v:rect style="width:0;height:1.5pt" o:hralign="center" o:hrstd="t" o:hr="t"/>
        </w:pict>
      </w:r>
    </w:p>
    <w:bookmarkEnd w:id="24"/>
    <w:bookmarkStart w:id="25" w:name="section-2-feature-scoping"/>
    <w:p>
      <w:pPr>
        <w:pStyle w:val="Heading2"/>
      </w:pPr>
      <w:r>
        <w:t xml:space="preserve">Section 2: Feature Scoping</w:t>
      </w:r>
    </w:p>
    <w:p>
      <w:pPr>
        <w:pStyle w:val="FirstParagraph"/>
      </w:pPr>
      <w:r>
        <w:rPr>
          <w:iCs/>
          <w:i/>
        </w:rPr>
        <w:t xml:space="preserve">Go through each together. For each: Yes / No / Nice-to-have / Not sure.</w:t>
      </w:r>
    </w:p>
    <w:tbl>
      <w:tblPr>
        <w:tblStyle w:val="Table"/>
        <w:tblW w:w="9360" w:type="dxa"/>
        <w:tblLook w:firstRow="1" w:lastRow="0" w:firstColumn="0" w:lastColumn="0" w:noHBand="0" w:noVBand="0" w:val="0020"/>
        <w:jc w:val="start"/>
        <w:tblLayout w:type="fixed"/>
      </w:tblPr>
      <w:tblGrid>
        <w:gridCol w:w="460"/>
        <w:gridCol w:w="4347"/>
        <w:gridCol w:w="740"/>
        <w:gridCol w:w="600"/>
        <w:gridCol w:w="2000"/>
        <w:gridCol w:w="1213"/>
      </w:tblGrid>
      <w:tr>
        <w:trPr>
          <w:cantSplit/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Feature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Nice-to-have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Not sure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Live / real-time updates (new messages appear without refresh)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Message response tracking and routing (assigning threads to providers or queues)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Read receipts and unread counts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File and image attachments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Message editing and drafts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Automated messaging (reminders, out-of-office, SLA escalations)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External channel delivery (SMS, email — beyond in-app)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Async encounters / billing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r>
        <w:pict>
          <v:rect style="width:0;height:1.5pt" o:hralign="center" o:hrstd="t" o:hr="t"/>
        </w:pict>
      </w:r>
    </w:p>
    <w:bookmarkEnd w:id="25"/>
    <w:bookmarkStart w:id="35" w:name="section-3-feature-deep-dives"/>
    <w:p>
      <w:pPr>
        <w:pStyle w:val="Heading2"/>
      </w:pPr>
      <w:r>
        <w:t xml:space="preserve">Section 3: Feature Deep Dives</w:t>
      </w:r>
    </w:p>
    <w:p>
      <w:pPr>
        <w:pStyle w:val="FirstParagraph"/>
      </w:pPr>
      <w:r>
        <w:rPr>
          <w:iCs/>
          <w:i/>
        </w:rPr>
        <w:t xml:space="preserve">Cover each feature flagged Yes or Nice-to-have. The goal is to land on a clear recommended approach by the end of each section.</w:t>
      </w:r>
    </w:p>
    <w:p>
      <w:r>
        <w:pict>
          <v:rect style="width:0;height:1.5pt" o:hralign="center" o:hrstd="t" o:hr="t"/>
        </w:pict>
      </w:r>
    </w:p>
    <w:bookmarkStart w:id="26" w:name="thread-structure-always-covered"/>
    <w:p>
      <w:pPr>
        <w:pStyle w:val="Heading3"/>
      </w:pPr>
      <w:r>
        <w:t xml:space="preserve">3.1 Thread Structure</w:t>
      </w:r>
      <w:r>
        <w:t xml:space="preserve"> </w:t>
      </w:r>
      <w:r>
        <w:rPr>
          <w:iCs/>
          <w:i/>
        </w:rPr>
        <w:t xml:space="preserve">(always covered)</w:t>
      </w:r>
    </w:p>
    <w:p>
      <w:pPr>
        <w:pStyle w:val="FirstParagraph"/>
      </w:pPr>
      <w:r>
        <w:rPr>
          <w:bCs/>
          <w:b/>
        </w:rPr>
        <w:t xml:space="preserve">Questions:</w:t>
      </w:r>
    </w:p>
    <w:p>
      <w:pPr>
        <w:numPr>
          <w:ilvl w:val="0"/>
          <w:numId w:val="1004"/>
        </w:numPr>
        <w:pStyle w:val="Compact"/>
      </w:pPr>
      <w:r>
        <w:t xml:space="preserve">Are threads always tied to a specific patient, or do you need internal/admin threads with no patient context?</w:t>
      </w:r>
    </w:p>
    <w:p>
      <w:pPr>
        <w:numPr>
          <w:ilvl w:val="0"/>
          <w:numId w:val="1004"/>
        </w:numPr>
        <w:pStyle w:val="Compact"/>
      </w:pPr>
      <w:r>
        <w:t xml:space="preserve">Are threads 1:1 only, or do you need group conversations with more than two participants?</w:t>
      </w:r>
    </w:p>
    <w:p>
      <w:pPr>
        <w:numPr>
          <w:ilvl w:val="0"/>
          <w:numId w:val="1004"/>
        </w:numPr>
        <w:pStyle w:val="Compact"/>
      </w:pPr>
      <w:r>
        <w:t xml:space="preserve">Do threads need to be tagged or categorized (e.g. by specialty, product line, urgency)? If so, do tags need to be combinable (e.g. a thread tagged both</w:t>
      </w:r>
      <w:r>
        <w:t xml:space="preserve"> </w:t>
      </w:r>
      <w:r>
        <w:t xml:space="preserve">“</w:t>
      </w:r>
      <w:r>
        <w:t xml:space="preserve">cardiology</w:t>
      </w:r>
      <w:r>
        <w:t xml:space="preserve">”</w:t>
      </w:r>
      <w:r>
        <w:t xml:space="preserve"> </w:t>
      </w:r>
      <w:r>
        <w:t xml:space="preserve">and</w:t>
      </w:r>
      <w:r>
        <w:t xml:space="preserve"> </w:t>
      </w:r>
      <w:r>
        <w:t xml:space="preserve">“</w:t>
      </w:r>
      <w:r>
        <w:t xml:space="preserve">urgent</w:t>
      </w:r>
      <w:r>
        <w:t xml:space="preserve">”</w:t>
      </w:r>
      <w:r>
        <w:t xml:space="preserve">)?</w:t>
      </w:r>
    </w:p>
    <w:p>
      <w:pPr>
        <w:pStyle w:val="FirstParagraph"/>
      </w:pPr>
      <w:r>
        <w:rPr>
          <w:bCs/>
          <w:b/>
        </w:rPr>
        <w:t xml:space="preserve">What the answers drive:</w:t>
      </w:r>
    </w:p>
    <w:tbl>
      <w:tblPr>
        <w:tblStyle w:val="Table"/>
        <w:tblW w:w="9360" w:type="dxa"/>
        <w:tblLook w:firstRow="1" w:lastRow="0" w:firstColumn="0" w:lastColumn="0" w:noHBand="0" w:noVBand="0" w:val="0020"/>
        <w:jc w:val="start"/>
        <w:tblLayout w:type="fixed"/>
      </w:tblPr>
      <w:tblGrid>
        <w:gridCol w:w="4702"/>
        <w:gridCol w:w="4658"/>
      </w:tblGrid>
      <w:tr>
        <w:trPr>
          <w:cantSplit/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Situation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Approach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Threads always tied to a patient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Set</w:t>
            </w:r>
            <w:r>
              <w:t xml:space="preserve"> </w:t>
            </w:r>
            <w:r>
              <w:rPr>
                <w:rStyle w:val="VerbatimChar"/>
              </w:rPr>
              <w:t xml:space="preserve">subject</w:t>
            </w:r>
            <w:r>
              <w:t xml:space="preserve"> </w:t>
            </w:r>
            <w:r>
              <w:t xml:space="preserve">on every thread header — enables filtering by patient across the inbox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Internal/admin threads needed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subject</w:t>
            </w:r>
            <w:r>
              <w:t xml:space="preserve"> </w:t>
            </w:r>
            <w:r>
              <w:t xml:space="preserve">is optional — don’t assume it’s always present in queries or UI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1:1 only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Simpler participant model; simplifies read receipt implementation (see 3.4)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Group threads needed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Recipient list on thread header must include all participants including the thread creator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Tags/categories needed, single dimension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Use a single</w:t>
            </w:r>
            <w:r>
              <w:t xml:space="preserve"> </w:t>
            </w:r>
            <w:r>
              <w:rPr>
                <w:rStyle w:val="VerbatimChar"/>
              </w:rPr>
              <w:t xml:space="preserve">category</w:t>
            </w:r>
            <w:r>
              <w:t xml:space="preserve"> </w:t>
            </w:r>
            <w:r>
              <w:t xml:space="preserve">entry on both the thread header and child messages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Tags/categories needed, multiple combinable dimensions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Use multiple</w:t>
            </w:r>
            <w:r>
              <w:t xml:space="preserve"> </w:t>
            </w:r>
            <w:r>
              <w:rPr>
                <w:rStyle w:val="VerbatimChar"/>
              </w:rPr>
              <w:t xml:space="preserve">category</w:t>
            </w:r>
            <w:r>
              <w:t xml:space="preserve"> </w:t>
            </w:r>
            <w:r>
              <w:t xml:space="preserve">entries (e.g. one for specialty, one for credential level) — more maintainable but queries may need to match several categories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6"/>
    <w:bookmarkStart w:id="27" w:name="live-updates"/>
    <w:p>
      <w:pPr>
        <w:pStyle w:val="Heading3"/>
      </w:pPr>
      <w:r>
        <w:t xml:space="preserve">3.2 Live Updates</w:t>
      </w:r>
    </w:p>
    <w:p>
      <w:pPr>
        <w:pStyle w:val="FirstParagraph"/>
      </w:pPr>
      <w:r>
        <w:rPr>
          <w:bCs/>
          <w:b/>
        </w:rPr>
        <w:t xml:space="preserve">Questions:</w:t>
      </w:r>
    </w:p>
    <w:p>
      <w:pPr>
        <w:numPr>
          <w:ilvl w:val="0"/>
          <w:numId w:val="1005"/>
        </w:numPr>
        <w:pStyle w:val="Compact"/>
      </w:pPr>
      <w:r>
        <w:t xml:space="preserve">Do new messages need to appear in real time without a page refresh?</w:t>
      </w:r>
    </w:p>
    <w:p>
      <w:pPr>
        <w:numPr>
          <w:ilvl w:val="0"/>
          <w:numId w:val="1005"/>
        </w:numPr>
        <w:pStyle w:val="Compact"/>
      </w:pPr>
      <w:r>
        <w:t xml:space="preserve">Is this needed for the patient-facing app, the provider-facing app, or both?</w:t>
      </w:r>
    </w:p>
    <w:p>
      <w:pPr>
        <w:pStyle w:val="FirstParagraph"/>
      </w:pPr>
      <w:r>
        <w:rPr>
          <w:bCs/>
          <w:b/>
        </w:rPr>
        <w:t xml:space="preserve">What the answers drive:</w:t>
      </w:r>
    </w:p>
    <w:tbl>
      <w:tblPr>
        <w:tblStyle w:val="Table"/>
        <w:tblW w:w="9360" w:type="dxa"/>
        <w:tblLook w:firstRow="1" w:lastRow="0" w:firstColumn="0" w:lastColumn="0" w:noHBand="0" w:noVBand="0" w:val="0020"/>
        <w:jc w:val="start"/>
        <w:tblLayout w:type="fixed"/>
      </w:tblPr>
      <w:tblGrid>
        <w:gridCol w:w="4616"/>
        <w:gridCol w:w="4744"/>
      </w:tblGrid>
      <w:tr>
        <w:trPr>
          <w:cantSplit/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Situation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Approach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Real-time updates needed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WebSocket subscriptions on the thread — requires this to be scoped and enabled for the project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Polling is acceptable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Simpler implementation; periodic re-fetch of thread messages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Notification only (e.g. badge, push) without live message rendering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Can use subscription to trigger a notification without requiring in-place message updates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7"/>
    <w:bookmarkStart w:id="28" w:name="routing-assignment"/>
    <w:p>
      <w:pPr>
        <w:pStyle w:val="Heading3"/>
      </w:pPr>
      <w:r>
        <w:t xml:space="preserve">3.3 Routing &amp; Assignment</w:t>
      </w:r>
    </w:p>
    <w:p>
      <w:pPr>
        <w:pStyle w:val="FirstParagraph"/>
      </w:pPr>
      <w:r>
        <w:rPr>
          <w:bCs/>
          <w:b/>
        </w:rPr>
        <w:t xml:space="preserve">Questions:</w:t>
      </w:r>
    </w:p>
    <w:p>
      <w:pPr>
        <w:numPr>
          <w:ilvl w:val="0"/>
          <w:numId w:val="1006"/>
        </w:numPr>
        <w:pStyle w:val="Compact"/>
      </w:pPr>
      <w:r>
        <w:t xml:space="preserve">Do messages get assigned to specific providers, to a pool/queue by role, or both?</w:t>
      </w:r>
    </w:p>
    <w:p>
      <w:pPr>
        <w:numPr>
          <w:ilvl w:val="0"/>
          <w:numId w:val="1006"/>
        </w:numPr>
        <w:pStyle w:val="Compact"/>
      </w:pPr>
      <w:r>
        <w:t xml:space="preserve">Can threads be reassigned or escalated after initial assignment?</w:t>
      </w:r>
    </w:p>
    <w:p>
      <w:pPr>
        <w:numPr>
          <w:ilvl w:val="0"/>
          <w:numId w:val="1006"/>
        </w:numPr>
        <w:pStyle w:val="Compact"/>
      </w:pPr>
      <w:r>
        <w:t xml:space="preserve">After reassignment, does the previous owner need to retain visibility of the thread?</w:t>
      </w:r>
    </w:p>
    <w:p>
      <w:pPr>
        <w:numPr>
          <w:ilvl w:val="0"/>
          <w:numId w:val="1006"/>
        </w:numPr>
        <w:pStyle w:val="Compact"/>
      </w:pPr>
      <w:r>
        <w:t xml:space="preserve">Do you need a structured audit trail of who owned a thread and why it was rerouted?</w:t>
      </w:r>
    </w:p>
    <w:p>
      <w:pPr>
        <w:pStyle w:val="FirstParagraph"/>
      </w:pPr>
      <w:r>
        <w:rPr>
          <w:bCs/>
          <w:b/>
        </w:rPr>
        <w:t xml:space="preserve">What the answers drive:</w:t>
      </w:r>
    </w:p>
    <w:tbl>
      <w:tblPr>
        <w:tblStyle w:val="Table"/>
        <w:tblW w:w="9360" w:type="dxa"/>
        <w:tblLook w:firstRow="1" w:lastRow="0" w:firstColumn="0" w:lastColumn="0" w:noHBand="0" w:noVBand="0" w:val="0020"/>
        <w:jc w:val="start"/>
        <w:tblLayout w:type="fixed"/>
      </w:tblPr>
      <w:tblGrid>
        <w:gridCol w:w="4492"/>
        <w:gridCol w:w="4868"/>
      </w:tblGrid>
      <w:tr>
        <w:trPr>
          <w:cantSplit/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Situation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Approach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Individual assignment only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Set</w:t>
            </w:r>
            <w:r>
              <w:t xml:space="preserve"> </w:t>
            </w:r>
            <w:r>
              <w:rPr>
                <w:rStyle w:val="VerbatimChar"/>
              </w:rPr>
              <w:t xml:space="preserve">Task.owner</w:t>
            </w:r>
            <w:r>
              <w:t xml:space="preserve"> </w:t>
            </w:r>
            <w:r>
              <w:t xml:space="preserve">to a specific provider; remove</w:t>
            </w:r>
            <w:r>
              <w:t xml:space="preserve"> </w:t>
            </w:r>
            <w:r>
              <w:rPr>
                <w:rStyle w:val="VerbatimChar"/>
              </w:rPr>
              <w:t xml:space="preserve">performerType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Pool/queue routing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Set</w:t>
            </w:r>
            <w:r>
              <w:t xml:space="preserve"> </w:t>
            </w:r>
            <w:r>
              <w:rPr>
                <w:rStyle w:val="VerbatimChar"/>
              </w:rPr>
              <w:t xml:space="preserve">Task.performerType</w:t>
            </w:r>
            <w:r>
              <w:t xml:space="preserve"> </w:t>
            </w:r>
            <w:r>
              <w:t xml:space="preserve">by role type; clear</w:t>
            </w:r>
            <w:r>
              <w:t xml:space="preserve"> </w:t>
            </w:r>
            <w:r>
              <w:rPr>
                <w:rStyle w:val="VerbatimChar"/>
              </w:rPr>
              <w:t xml:space="preserve">Task.owner</w:t>
            </w:r>
            <w:r>
              <w:t xml:space="preserve">; providers claim from pool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Both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Use</w:t>
            </w:r>
            <w:r>
              <w:t xml:space="preserve"> </w:t>
            </w:r>
            <w:r>
              <w:rPr>
                <w:rStyle w:val="VerbatimChar"/>
              </w:rPr>
              <w:t xml:space="preserve">performerType</w:t>
            </w:r>
            <w:r>
              <w:t xml:space="preserve"> </w:t>
            </w:r>
            <w:r>
              <w:t xml:space="preserve">for initial pool routing; set</w:t>
            </w:r>
            <w:r>
              <w:t xml:space="preserve"> </w:t>
            </w:r>
            <w:r>
              <w:rPr>
                <w:rStyle w:val="VerbatimChar"/>
              </w:rPr>
              <w:t xml:space="preserve">owner</w:t>
            </w:r>
            <w:r>
              <w:t xml:space="preserve"> </w:t>
            </w:r>
            <w:r>
              <w:t xml:space="preserve">and clear</w:t>
            </w:r>
            <w:r>
              <w:t xml:space="preserve"> </w:t>
            </w:r>
            <w:r>
              <w:rPr>
                <w:rStyle w:val="VerbatimChar"/>
              </w:rPr>
              <w:t xml:space="preserve">performerType</w:t>
            </w:r>
            <w:r>
              <w:t xml:space="preserve"> </w:t>
            </w:r>
            <w:r>
              <w:t xml:space="preserve">when claimed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Reassignment needed, previous owner loses access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Update</w:t>
            </w:r>
            <w:r>
              <w:t xml:space="preserve"> </w:t>
            </w:r>
            <w:r>
              <w:rPr>
                <w:rStyle w:val="VerbatimChar"/>
              </w:rPr>
              <w:t xml:space="preserve">Task.owner</w:t>
            </w:r>
            <w:r>
              <w:t xml:space="preserve"> </w:t>
            </w:r>
            <w:r>
              <w:t xml:space="preserve">in place; update</w:t>
            </w:r>
            <w:r>
              <w:t xml:space="preserve"> </w:t>
            </w:r>
            <w:r>
              <w:rPr>
                <w:rStyle w:val="VerbatimChar"/>
              </w:rPr>
              <w:t xml:space="preserve">Communication.recipient</w:t>
            </w:r>
            <w:r>
              <w:t xml:space="preserve"> </w:t>
            </w:r>
            <w:r>
              <w:t xml:space="preserve">to match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Reassignment needed, previous owner retains visibility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Create a new Task for the new owner; mark original as cancelled with a note pointing to the new Task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Audit trail needed (free text)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Append to</w:t>
            </w:r>
            <w:r>
              <w:t xml:space="preserve"> </w:t>
            </w:r>
            <w:r>
              <w:rPr>
                <w:rStyle w:val="VerbatimChar"/>
              </w:rPr>
              <w:t xml:space="preserve">Task.note</w:t>
            </w:r>
            <w:r>
              <w:t xml:space="preserve"> </w:t>
            </w:r>
            <w:r>
              <w:t xml:space="preserve">on each reroute with author and timestamp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Audit trail needed (structured/queryable)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Create a</w:t>
            </w:r>
            <w:r>
              <w:t xml:space="preserve"> </w:t>
            </w:r>
            <w:r>
              <w:rPr>
                <w:rStyle w:val="VerbatimChar"/>
              </w:rPr>
              <w:t xml:space="preserve">Provenance</w:t>
            </w:r>
            <w:r>
              <w:t xml:space="preserve"> </w:t>
            </w:r>
            <w:r>
              <w:t xml:space="preserve">resource on each reroute with a coded reason — queryable via</w:t>
            </w:r>
            <w:r>
              <w:t xml:space="preserve"> </w:t>
            </w:r>
            <w:r>
              <w:rPr>
                <w:rStyle w:val="VerbatimChar"/>
              </w:rPr>
              <w:t xml:space="preserve">Provenance?target=Task/{id}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8"/>
    <w:bookmarkStart w:id="29" w:name="read-receipts-unread-state"/>
    <w:p>
      <w:pPr>
        <w:pStyle w:val="Heading3"/>
      </w:pPr>
      <w:r>
        <w:t xml:space="preserve">3.4 Read Receipts &amp; Unread State</w:t>
      </w:r>
    </w:p>
    <w:p>
      <w:pPr>
        <w:pStyle w:val="FirstParagraph"/>
      </w:pPr>
      <w:r>
        <w:rPr>
          <w:bCs/>
          <w:b/>
        </w:rPr>
        <w:t xml:space="preserve">Questions:</w:t>
      </w:r>
    </w:p>
    <w:p>
      <w:pPr>
        <w:numPr>
          <w:ilvl w:val="0"/>
          <w:numId w:val="1007"/>
        </w:numPr>
        <w:pStyle w:val="Compact"/>
      </w:pPr>
      <w:r>
        <w:t xml:space="preserve">Are threads ever group conversations (more than 2 participants)?</w:t>
      </w:r>
    </w:p>
    <w:p>
      <w:pPr>
        <w:numPr>
          <w:ilvl w:val="0"/>
          <w:numId w:val="1007"/>
        </w:numPr>
        <w:pStyle w:val="Compact"/>
      </w:pPr>
      <w:r>
        <w:t xml:space="preserve">Do you need to query unread counts via API — e.g. a badge count or a list of all unread threads for a user?</w:t>
      </w:r>
    </w:p>
    <w:p>
      <w:pPr>
        <w:numPr>
          <w:ilvl w:val="0"/>
          <w:numId w:val="1007"/>
        </w:numPr>
        <w:pStyle w:val="Compact"/>
      </w:pPr>
      <w:r>
        <w:t xml:space="preserve">Do unread counts need to be tracked per-recipient in a group thread?</w:t>
      </w:r>
    </w:p>
    <w:p>
      <w:pPr>
        <w:pStyle w:val="FirstParagraph"/>
      </w:pPr>
      <w:r>
        <w:rPr>
          <w:bCs/>
          <w:b/>
        </w:rPr>
        <w:t xml:space="preserve">What the answers drive:</w:t>
      </w:r>
    </w:p>
    <w:tbl>
      <w:tblPr>
        <w:tblStyle w:val="Table"/>
        <w:tblW w:w="9360" w:type="dxa"/>
        <w:tblLook w:firstRow="1" w:lastRow="0" w:firstColumn="0" w:lastColumn="0" w:noHBand="0" w:noVBand="0" w:val="0020"/>
        <w:jc w:val="start"/>
        <w:tblLayout w:type="fixed"/>
      </w:tblPr>
      <w:tblGrid>
        <w:gridCol w:w="4559"/>
        <w:gridCol w:w="4801"/>
      </w:tblGrid>
      <w:tr>
        <w:trPr>
          <w:cantSplit/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Situation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Approach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1:1 threads only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Option A: mark message</w:t>
            </w:r>
            <w:r>
              <w:t xml:space="preserve"> </w:t>
            </w:r>
            <w:r>
              <w:rPr>
                <w:rStyle w:val="VerbatimChar"/>
              </w:rPr>
              <w:t xml:space="preserve">status = completed</w:t>
            </w:r>
            <w:r>
              <w:t xml:space="preserve"> </w:t>
            </w:r>
            <w:r>
              <w:t xml:space="preserve">when read; query unread via status filter. Simplest model.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Group threads, no API unread query needed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Option B: store per-participant read state as an extension on the thread header. Shows unread dot in UI; not searchable via API.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Group threads, API unread query needed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Option C: create a read-receipt Task per recipient per message; complete it when read. Supports badge counts and unread queries. Most complex.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9"/>
    <w:bookmarkStart w:id="30" w:name="attachments"/>
    <w:p>
      <w:pPr>
        <w:pStyle w:val="Heading3"/>
      </w:pPr>
      <w:r>
        <w:t xml:space="preserve">3.5 Attachments</w:t>
      </w:r>
    </w:p>
    <w:p>
      <w:pPr>
        <w:pStyle w:val="FirstParagraph"/>
      </w:pPr>
      <w:r>
        <w:rPr>
          <w:bCs/>
          <w:b/>
        </w:rPr>
        <w:t xml:space="preserve">Questions:</w:t>
      </w:r>
    </w:p>
    <w:p>
      <w:pPr>
        <w:numPr>
          <w:ilvl w:val="0"/>
          <w:numId w:val="1008"/>
        </w:numPr>
        <w:pStyle w:val="Compact"/>
      </w:pPr>
      <w:r>
        <w:t xml:space="preserve">What file types need to be supported?</w:t>
      </w:r>
    </w:p>
    <w:p>
      <w:pPr>
        <w:numPr>
          <w:ilvl w:val="0"/>
          <w:numId w:val="1008"/>
        </w:numPr>
        <w:pStyle w:val="Compact"/>
      </w:pPr>
      <w:r>
        <w:t xml:space="preserve">Do attachments need to be searchable or referenceable as clinical documents — e.g. queryable by patient or document type — or are they just files to download within a message?</w:t>
      </w:r>
    </w:p>
    <w:p>
      <w:pPr>
        <w:pStyle w:val="FirstParagraph"/>
      </w:pPr>
      <w:r>
        <w:rPr>
          <w:bCs/>
          <w:b/>
        </w:rPr>
        <w:t xml:space="preserve">What the answers drive:</w:t>
      </w:r>
    </w:p>
    <w:tbl>
      <w:tblPr>
        <w:tblStyle w:val="Table"/>
        <w:tblW w:w="9360" w:type="dxa"/>
        <w:tblLook w:firstRow="1" w:lastRow="0" w:firstColumn="0" w:lastColumn="0" w:noHBand="0" w:noVBand="0" w:val="0020"/>
        <w:jc w:val="start"/>
        <w:tblLayout w:type="fixed"/>
      </w:tblPr>
      <w:tblGrid>
        <w:gridCol w:w="4589"/>
        <w:gridCol w:w="4771"/>
      </w:tblGrid>
      <w:tr>
        <w:trPr>
          <w:cantSplit/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Situation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Approach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Files are just downloads within a message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Store as</w:t>
            </w:r>
            <w:r>
              <w:t xml:space="preserve"> </w:t>
            </w:r>
            <w:r>
              <w:rPr>
                <w:rStyle w:val="VerbatimChar"/>
              </w:rPr>
              <w:t xml:space="preserve">contentAttachment</w:t>
            </w:r>
            <w:r>
              <w:t xml:space="preserve"> </w:t>
            </w:r>
            <w:r>
              <w:t xml:space="preserve">on the message payload — simple, no separate resource needed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Attachments need to be clinical documents (searchable, referenceable by patient/type)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Create a</w:t>
            </w:r>
            <w:r>
              <w:t xml:space="preserve"> </w:t>
            </w:r>
            <w:r>
              <w:rPr>
                <w:rStyle w:val="VerbatimChar"/>
              </w:rPr>
              <w:t xml:space="preserve">DocumentReference</w:t>
            </w:r>
            <w:r>
              <w:t xml:space="preserve"> </w:t>
            </w:r>
            <w:r>
              <w:t xml:space="preserve">and attach via</w:t>
            </w:r>
            <w:r>
              <w:t xml:space="preserve"> </w:t>
            </w:r>
            <w:r>
              <w:rPr>
                <w:rStyle w:val="VerbatimChar"/>
              </w:rPr>
              <w:t xml:space="preserve">contentReference</w:t>
            </w:r>
            <w:r>
              <w:t xml:space="preserve"> </w:t>
            </w:r>
            <w:r>
              <w:t xml:space="preserve">on the payload — file becomes a first-class searchable clinical document. Note: this is the default behavior of Medplum’s React</w:t>
            </w:r>
            <w:r>
              <w:t xml:space="preserve"> </w:t>
            </w:r>
            <w:r>
              <w:rPr>
                <w:rStyle w:val="VerbatimChar"/>
              </w:rPr>
              <w:t xml:space="preserve">ThreadChat</w:t>
            </w:r>
            <w:r>
              <w:t xml:space="preserve"> </w:t>
            </w:r>
            <w:r>
              <w:t xml:space="preserve">component.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Attachments are references to existing clinical resources (e.g. a lab result)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Use</w:t>
            </w:r>
            <w:r>
              <w:t xml:space="preserve"> </w:t>
            </w:r>
            <w:r>
              <w:rPr>
                <w:rStyle w:val="VerbatimChar"/>
              </w:rPr>
              <w:t xml:space="preserve">contentReference</w:t>
            </w:r>
            <w:r>
              <w:t xml:space="preserve"> </w:t>
            </w:r>
            <w:r>
              <w:t xml:space="preserve">pointing at the relevant FHIR resource (e.g. </w:t>
            </w:r>
            <w:r>
              <w:rPr>
                <w:rStyle w:val="VerbatimChar"/>
              </w:rPr>
              <w:t xml:space="preserve">DiagnosticReport</w:t>
            </w:r>
            <w:r>
              <w:t xml:space="preserve">)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30"/>
    <w:bookmarkStart w:id="31" w:name="editing-drafts"/>
    <w:p>
      <w:pPr>
        <w:pStyle w:val="Heading3"/>
      </w:pPr>
      <w:r>
        <w:t xml:space="preserve">3.6 Editing &amp; Drafts</w:t>
      </w:r>
    </w:p>
    <w:p>
      <w:pPr>
        <w:pStyle w:val="FirstParagraph"/>
      </w:pPr>
      <w:r>
        <w:rPr>
          <w:bCs/>
          <w:b/>
        </w:rPr>
        <w:t xml:space="preserve">Questions:</w:t>
      </w:r>
    </w:p>
    <w:p>
      <w:pPr>
        <w:numPr>
          <w:ilvl w:val="0"/>
          <w:numId w:val="1009"/>
        </w:numPr>
        <w:pStyle w:val="Compact"/>
      </w:pPr>
      <w:r>
        <w:t xml:space="preserve">Can sent messages be corrected or retracted after sending?</w:t>
      </w:r>
    </w:p>
    <w:p>
      <w:pPr>
        <w:numPr>
          <w:ilvl w:val="0"/>
          <w:numId w:val="1009"/>
        </w:numPr>
        <w:pStyle w:val="Compact"/>
      </w:pPr>
      <w:r>
        <w:t xml:space="preserve">If so, does the original message content need to be discoverable via search (e.g. </w:t>
      </w:r>
      <w:r>
        <w:t xml:space="preserve">“</w:t>
      </w:r>
      <w:r>
        <w:t xml:space="preserve">show all edited messages</w:t>
      </w:r>
      <w:r>
        <w:t xml:space="preserve">”</w:t>
      </w:r>
      <w:r>
        <w:t xml:space="preserve">), or is it sufficient for the history to exist but not be directly queryable?</w:t>
      </w:r>
    </w:p>
    <w:p>
      <w:pPr>
        <w:numPr>
          <w:ilvl w:val="0"/>
          <w:numId w:val="1009"/>
        </w:numPr>
        <w:pStyle w:val="Compact"/>
      </w:pPr>
      <w:r>
        <w:t xml:space="preserve">Do users need to save a draft and return to it across sessions or devices, or is per-device/browser draft storage acceptable?</w:t>
      </w:r>
    </w:p>
    <w:p>
      <w:pPr>
        <w:pStyle w:val="FirstParagraph"/>
      </w:pPr>
      <w:r>
        <w:rPr>
          <w:bCs/>
          <w:b/>
        </w:rPr>
        <w:t xml:space="preserve">What the answers drive:</w:t>
      </w:r>
    </w:p>
    <w:tbl>
      <w:tblPr>
        <w:tblStyle w:val="Table"/>
        <w:tblW w:w="9360" w:type="dxa"/>
        <w:tblLook w:firstRow="1" w:lastRow="0" w:firstColumn="0" w:lastColumn="0" w:noHBand="0" w:noVBand="0" w:val="0020"/>
        <w:jc w:val="start"/>
        <w:tblLayout w:type="fixed"/>
      </w:tblPr>
      <w:tblGrid>
        <w:gridCol w:w="4517"/>
        <w:gridCol w:w="4843"/>
      </w:tblGrid>
      <w:tr>
        <w:trPr>
          <w:cantSplit/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Situation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Approach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Sent messages cannot be edited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 special handling needed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Sent messages can be corrected; edits need to be searchable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Retract-and-correct: mark original</w:t>
            </w:r>
            <w:r>
              <w:t xml:space="preserve"> </w:t>
            </w:r>
            <w:r>
              <w:rPr>
                <w:rStyle w:val="VerbatimChar"/>
              </w:rPr>
              <w:t xml:space="preserve">status = entered-in-error</w:t>
            </w:r>
            <w:r>
              <w:t xml:space="preserve">, create new message with corrected content linked via</w:t>
            </w:r>
            <w:r>
              <w:t xml:space="preserve"> </w:t>
            </w:r>
            <w:r>
              <w:rPr>
                <w:rStyle w:val="VerbatimChar"/>
              </w:rPr>
              <w:t xml:space="preserve">inResponseTo</w:t>
            </w:r>
            <w:r>
              <w:t xml:space="preserve"> </w:t>
            </w:r>
            <w:r>
              <w:t xml:space="preserve">and tagged with a</w:t>
            </w:r>
            <w:r>
              <w:t xml:space="preserve"> </w:t>
            </w:r>
            <w:r>
              <w:rPr>
                <w:rStyle w:val="VerbatimChar"/>
              </w:rPr>
              <w:t xml:space="preserve">correction</w:t>
            </w:r>
            <w:r>
              <w:t xml:space="preserve"> </w:t>
            </w:r>
            <w:r>
              <w:t xml:space="preserve">category. Corrections are discoverable via status and category filters.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Sent messages can be corrected; searchability of edits not required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In-place payload update via</w:t>
            </w:r>
            <w:r>
              <w:t xml:space="preserve"> </w:t>
            </w:r>
            <w:r>
              <w:rPr>
                <w:rStyle w:val="VerbatimChar"/>
              </w:rPr>
              <w:t xml:space="preserve">patchResource</w:t>
            </w:r>
            <w:r>
              <w:t xml:space="preserve">. Full version history still exists via</w:t>
            </w:r>
            <w:r>
              <w:t xml:space="preserve"> </w:t>
            </w:r>
            <w:r>
              <w:rPr>
                <w:rStyle w:val="VerbatimChar"/>
              </w:rPr>
              <w:t xml:space="preserve">_history</w:t>
            </w:r>
            <w:r>
              <w:t xml:space="preserve"> </w:t>
            </w:r>
            <w:r>
              <w:t xml:space="preserve">but is not searchable.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Drafts only needed per browser/device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Store in browser</w:t>
            </w:r>
            <w:r>
              <w:t xml:space="preserve"> </w:t>
            </w:r>
            <w:r>
              <w:rPr>
                <w:rStyle w:val="VerbatimChar"/>
              </w:rPr>
              <w:t xml:space="preserve">localStorage</w:t>
            </w:r>
            <w:r>
              <w:t xml:space="preserve"> </w:t>
            </w:r>
            <w:r>
              <w:t xml:space="preserve">keyed by thread ID — no server resources needed, but lost if user clears storage or switches devices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Drafts need to persist across devices/sessions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Store as</w:t>
            </w:r>
            <w:r>
              <w:t xml:space="preserve"> </w:t>
            </w:r>
            <w:r>
              <w:rPr>
                <w:rStyle w:val="VerbatimChar"/>
              </w:rPr>
              <w:t xml:space="preserve">Communication</w:t>
            </w:r>
            <w:r>
              <w:t xml:space="preserve"> </w:t>
            </w:r>
            <w:r>
              <w:t xml:space="preserve">with</w:t>
            </w:r>
            <w:r>
              <w:t xml:space="preserve"> </w:t>
            </w:r>
            <w:r>
              <w:rPr>
                <w:rStyle w:val="VerbatimChar"/>
              </w:rPr>
              <w:t xml:space="preserve">status = preparation</w:t>
            </w:r>
            <w:r>
              <w:t xml:space="preserve">; update as user types (debounced); promote to</w:t>
            </w:r>
            <w:r>
              <w:t xml:space="preserve"> </w:t>
            </w:r>
            <w:r>
              <w:rPr>
                <w:rStyle w:val="VerbatimChar"/>
              </w:rPr>
              <w:t xml:space="preserve">in-progress</w:t>
            </w:r>
            <w:r>
              <w:t xml:space="preserve"> </w:t>
            </w:r>
            <w:r>
              <w:t xml:space="preserve">with a</w:t>
            </w:r>
            <w:r>
              <w:t xml:space="preserve"> </w:t>
            </w:r>
            <w:r>
              <w:rPr>
                <w:rStyle w:val="VerbatimChar"/>
              </w:rPr>
              <w:t xml:space="preserve">sent</w:t>
            </w:r>
            <w:r>
              <w:t xml:space="preserve"> </w:t>
            </w:r>
            <w:r>
              <w:t xml:space="preserve">timestamp when sent. Filter drafts out of thread message queries with</w:t>
            </w:r>
            <w:r>
              <w:t xml:space="preserve"> </w:t>
            </w:r>
            <w:r>
              <w:rPr>
                <w:rStyle w:val="VerbatimChar"/>
              </w:rPr>
              <w:t xml:space="preserve">status:not=preparation</w:t>
            </w:r>
            <w:r>
              <w:t xml:space="preserve">.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31"/>
    <w:bookmarkStart w:id="32" w:name="automations"/>
    <w:p>
      <w:pPr>
        <w:pStyle w:val="Heading3"/>
      </w:pPr>
      <w:r>
        <w:t xml:space="preserve">3.7 Automations</w:t>
      </w:r>
    </w:p>
    <w:p>
      <w:pPr>
        <w:pStyle w:val="FirstParagraph"/>
      </w:pPr>
      <w:r>
        <w:rPr>
          <w:bCs/>
          <w:b/>
        </w:rPr>
        <w:t xml:space="preserve">Questions:</w:t>
      </w:r>
    </w:p>
    <w:p>
      <w:pPr>
        <w:numPr>
          <w:ilvl w:val="0"/>
          <w:numId w:val="1010"/>
        </w:numPr>
        <w:pStyle w:val="Compact"/>
      </w:pPr>
      <w:r>
        <w:t xml:space="preserve">Are there events that should trigger automated messages (e.g. new lab result, appointment reminder)?</w:t>
      </w:r>
    </w:p>
    <w:p>
      <w:pPr>
        <w:numPr>
          <w:ilvl w:val="0"/>
          <w:numId w:val="1010"/>
        </w:numPr>
        <w:pStyle w:val="Compact"/>
      </w:pPr>
      <w:r>
        <w:t xml:space="preserve">Are there SLA or response-time requirements (e.g. all messages responded to within 4 hours)?</w:t>
      </w:r>
    </w:p>
    <w:p>
      <w:pPr>
        <w:numPr>
          <w:ilvl w:val="0"/>
          <w:numId w:val="1010"/>
        </w:numPr>
        <w:pStyle w:val="Compact"/>
      </w:pPr>
      <w:r>
        <w:t xml:space="preserve">Do providers have out-of-office or availability states that should affect routing?</w:t>
      </w:r>
    </w:p>
    <w:p>
      <w:pPr>
        <w:numPr>
          <w:ilvl w:val="0"/>
          <w:numId w:val="1010"/>
        </w:numPr>
        <w:pStyle w:val="Compact"/>
      </w:pPr>
      <w:r>
        <w:t xml:space="preserve">Do you need to report on SLA compliance or response time metrics?</w:t>
      </w:r>
    </w:p>
    <w:p>
      <w:pPr>
        <w:pStyle w:val="FirstParagraph"/>
      </w:pPr>
      <w:r>
        <w:rPr>
          <w:bCs/>
          <w:b/>
        </w:rPr>
        <w:t xml:space="preserve">What the answers drive:</w:t>
      </w:r>
    </w:p>
    <w:tbl>
      <w:tblPr>
        <w:tblStyle w:val="Table"/>
        <w:tblW w:w="9360" w:type="dxa"/>
        <w:tblLook w:firstRow="1" w:lastRow="0" w:firstColumn="0" w:lastColumn="0" w:noHBand="0" w:noVBand="0" w:val="0020"/>
        <w:jc w:val="start"/>
        <w:tblLayout w:type="fixed"/>
      </w:tblPr>
      <w:tblGrid>
        <w:gridCol w:w="4775"/>
        <w:gridCol w:w="4585"/>
      </w:tblGrid>
      <w:tr>
        <w:trPr>
          <w:cantSplit/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Situation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Approach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Event-triggered automation (e.g. send message when lab result arrives)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Bot triggered by a Subscription on the relevant resource type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Recurring automation (e.g. flag threads with no response after N days)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Cron-scheduled Bot that scans for stale threads and creates reminder Tasks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Out-of-office / availability-based rerouting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Bot triggered on new message checks provider Schedule; reroutes Task to pool if provider has no available slots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SLA reporting needed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Task data (</w:t>
            </w:r>
            <w:r>
              <w:rPr>
                <w:rStyle w:val="VerbatimChar"/>
              </w:rPr>
              <w:t xml:space="preserve">authoredOn</w:t>
            </w:r>
            <w:r>
              <w:t xml:space="preserve">, status change timestamps,</w:t>
            </w:r>
            <w:r>
              <w:t xml:space="preserve"> </w:t>
            </w:r>
            <w:r>
              <w:rPr>
                <w:rStyle w:val="VerbatimChar"/>
              </w:rPr>
              <w:t xml:space="preserve">owner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priority</w:t>
            </w:r>
            <w:r>
              <w:t xml:space="preserve">) should be exported to an analytics platform — FHIR search is not designed for aggregate SLA metrics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32"/>
    <w:bookmarkStart w:id="33" w:name="external-channels"/>
    <w:p>
      <w:pPr>
        <w:pStyle w:val="Heading3"/>
      </w:pPr>
      <w:r>
        <w:t xml:space="preserve">3.8 External Channels</w:t>
      </w:r>
    </w:p>
    <w:p>
      <w:pPr>
        <w:pStyle w:val="FirstParagraph"/>
      </w:pPr>
      <w:r>
        <w:rPr>
          <w:bCs/>
          <w:b/>
        </w:rPr>
        <w:t xml:space="preserve">Questions:</w:t>
      </w:r>
    </w:p>
    <w:p>
      <w:pPr>
        <w:numPr>
          <w:ilvl w:val="0"/>
          <w:numId w:val="1011"/>
        </w:numPr>
        <w:pStyle w:val="Compact"/>
      </w:pPr>
      <w:r>
        <w:t xml:space="preserve">Which channels — SMS, email, other?</w:t>
      </w:r>
    </w:p>
    <w:p>
      <w:pPr>
        <w:numPr>
          <w:ilvl w:val="0"/>
          <w:numId w:val="1011"/>
        </w:numPr>
        <w:pStyle w:val="Compact"/>
      </w:pPr>
      <w:r>
        <w:t xml:space="preserve">Is this outbound-only (notify the patient) or does the patient reply back into the thread?</w:t>
      </w:r>
    </w:p>
    <w:p>
      <w:pPr>
        <w:numPr>
          <w:ilvl w:val="0"/>
          <w:numId w:val="1011"/>
        </w:numPr>
        <w:pStyle w:val="Compact"/>
      </w:pPr>
      <w:r>
        <w:t xml:space="preserve">If inbound replies are needed, how is the patient identified from an incoming message (e.g. phone number, email address)?</w:t>
      </w:r>
    </w:p>
    <w:p>
      <w:pPr>
        <w:numPr>
          <w:ilvl w:val="0"/>
          <w:numId w:val="1011"/>
        </w:numPr>
        <w:pStyle w:val="Compact"/>
      </w:pPr>
      <w:r>
        <w:t xml:space="preserve">Does the external provider (e.g. Twilio) have its own conversation ID that can be stored for thread matching?</w:t>
      </w:r>
    </w:p>
    <w:p>
      <w:pPr>
        <w:pStyle w:val="FirstParagraph"/>
      </w:pPr>
      <w:r>
        <w:rPr>
          <w:bCs/>
          <w:b/>
        </w:rPr>
        <w:t xml:space="preserve">What the answers drive:</w:t>
      </w:r>
    </w:p>
    <w:tbl>
      <w:tblPr>
        <w:tblStyle w:val="Table"/>
        <w:tblW w:w="9360" w:type="dxa"/>
        <w:tblLook w:firstRow="1" w:lastRow="0" w:firstColumn="0" w:lastColumn="0" w:noHBand="0" w:noVBand="0" w:val="0020"/>
        <w:jc w:val="start"/>
        <w:tblLayout w:type="fixed"/>
      </w:tblPr>
      <w:tblGrid>
        <w:gridCol w:w="4354"/>
        <w:gridCol w:w="5006"/>
      </w:tblGrid>
      <w:tr>
        <w:trPr>
          <w:cantSplit/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Situation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Approach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Outbound notifications only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App creates the Communication, then calls</w:t>
            </w:r>
            <w:r>
              <w:t xml:space="preserve"> </w:t>
            </w:r>
            <w:r>
              <w:rPr>
                <w:rStyle w:val="VerbatimChar"/>
              </w:rPr>
              <w:t xml:space="preserve">executeBot</w:t>
            </w:r>
            <w:r>
              <w:t xml:space="preserve"> </w:t>
            </w:r>
            <w:r>
              <w:t xml:space="preserve">directly to send via the external channel — not Subscription-triggered, so errors surface synchronously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Inbound replies needed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Inbound webhook Bot receives the payload, identifies the patient, matches or creates a thread, creates a child Communication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External conversation ID available (e.g. Twilio conversation SID)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Upsert thread header by that identifier on first message; use it as conditional</w:t>
            </w:r>
            <w:r>
              <w:t xml:space="preserve"> </w:t>
            </w:r>
            <w:r>
              <w:rPr>
                <w:rStyle w:val="VerbatimChar"/>
              </w:rPr>
              <w:t xml:space="preserve">partOf</w:t>
            </w:r>
            <w:r>
              <w:t xml:space="preserve"> </w:t>
            </w:r>
            <w:r>
              <w:t xml:space="preserve">reference on all inbound messages — most reliable thread matching strategy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No external conversation 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Match thread by patient phone/email and open thread status; ambiguous cases need a defined fallback strategy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Round-trip (provider replies in-app, patient receives via SMS/email)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Store channel on thread header as</w:t>
            </w:r>
            <w:r>
              <w:t xml:space="preserve"> </w:t>
            </w:r>
            <w:r>
              <w:rPr>
                <w:rStyle w:val="VerbatimChar"/>
              </w:rPr>
              <w:t xml:space="preserve">medium</w:t>
            </w:r>
            <w:r>
              <w:t xml:space="preserve">; app creates the Communication then calls</w:t>
            </w:r>
            <w:r>
              <w:t xml:space="preserve"> </w:t>
            </w:r>
            <w:r>
              <w:rPr>
                <w:rStyle w:val="VerbatimChar"/>
              </w:rPr>
              <w:t xml:space="preserve">executeBot</w:t>
            </w:r>
            <w:r>
              <w:t xml:space="preserve"> </w:t>
            </w:r>
            <w:r>
              <w:t xml:space="preserve">to dispatch outbound — Bot reads</w:t>
            </w:r>
            <w:r>
              <w:t xml:space="preserve"> </w:t>
            </w:r>
            <w:r>
              <w:rPr>
                <w:rStyle w:val="VerbatimChar"/>
              </w:rPr>
              <w:t xml:space="preserve">medium</w:t>
            </w:r>
            <w:r>
              <w:t xml:space="preserve"> </w:t>
            </w:r>
            <w:r>
              <w:t xml:space="preserve">to route to the right channel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Webhook retry / duplicate messages likely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Use</w:t>
            </w:r>
            <w:r>
              <w:t xml:space="preserve"> </w:t>
            </w:r>
            <w:r>
              <w:rPr>
                <w:rStyle w:val="VerbatimChar"/>
              </w:rPr>
              <w:t xml:space="preserve">createResourceIfNoneExist</w:t>
            </w:r>
            <w:r>
              <w:t xml:space="preserve"> </w:t>
            </w:r>
            <w:r>
              <w:t xml:space="preserve">with the provider’s message ID as an identifier to prevent duplicate inbound Communications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33"/>
    <w:bookmarkStart w:id="34" w:name="async-encounters-billing"/>
    <w:p>
      <w:pPr>
        <w:pStyle w:val="Heading3"/>
      </w:pPr>
      <w:r>
        <w:t xml:space="preserve">3.9 Async Encounters / Billing</w:t>
      </w:r>
    </w:p>
    <w:p>
      <w:pPr>
        <w:pStyle w:val="FirstParagraph"/>
      </w:pPr>
      <w:r>
        <w:rPr>
          <w:bCs/>
          <w:b/>
        </w:rPr>
        <w:t xml:space="preserve">Questions:</w:t>
      </w:r>
    </w:p>
    <w:p>
      <w:pPr>
        <w:numPr>
          <w:ilvl w:val="0"/>
          <w:numId w:val="1012"/>
        </w:numPr>
        <w:pStyle w:val="Compact"/>
      </w:pPr>
      <w:r>
        <w:t xml:space="preserve">Does the customer intend to bill for messaging-based care?</w:t>
      </w:r>
    </w:p>
    <w:p>
      <w:pPr>
        <w:numPr>
          <w:ilvl w:val="0"/>
          <w:numId w:val="1012"/>
        </w:numPr>
        <w:pStyle w:val="Compact"/>
      </w:pPr>
      <w:r>
        <w:t xml:space="preserve">How do you define a</w:t>
      </w:r>
      <w:r>
        <w:t xml:space="preserve"> </w:t>
      </w:r>
      <w:r>
        <w:t xml:space="preserve">“</w:t>
      </w:r>
      <w:r>
        <w:t xml:space="preserve">session</w:t>
      </w:r>
      <w:r>
        <w:t xml:space="preserve">”</w:t>
      </w:r>
      <w:r>
        <w:t xml:space="preserve"> </w:t>
      </w:r>
      <w:r>
        <w:t xml:space="preserve">— one thread per session, grouped by day, or patient-initiated?</w:t>
      </w:r>
    </w:p>
    <w:p>
      <w:pPr>
        <w:numPr>
          <w:ilvl w:val="0"/>
          <w:numId w:val="1012"/>
        </w:numPr>
        <w:pStyle w:val="Compact"/>
      </w:pPr>
      <w:r>
        <w:t xml:space="preserve">Can a single messaging session involve multiple patients (e.g. a parent asking about two children)?</w:t>
      </w:r>
    </w:p>
    <w:p>
      <w:pPr>
        <w:numPr>
          <w:ilvl w:val="0"/>
          <w:numId w:val="1012"/>
        </w:numPr>
        <w:pStyle w:val="Compact"/>
      </w:pPr>
      <w:r>
        <w:t xml:space="preserve">Do you need to capture diagnosis codes, service type, or other clinical details per encounter?</w:t>
      </w:r>
    </w:p>
    <w:p>
      <w:pPr>
        <w:pStyle w:val="FirstParagraph"/>
      </w:pPr>
      <w:r>
        <w:rPr>
          <w:bCs/>
          <w:b/>
        </w:rPr>
        <w:t xml:space="preserve">What the answers drive:</w:t>
      </w:r>
    </w:p>
    <w:tbl>
      <w:tblPr>
        <w:tblStyle w:val="Table"/>
        <w:tblW w:w="9360" w:type="dxa"/>
        <w:tblLook w:firstRow="1" w:lastRow="0" w:firstColumn="0" w:lastColumn="0" w:noHBand="0" w:noVBand="0" w:val="0020"/>
        <w:jc w:val="start"/>
        <w:tblLayout w:type="fixed"/>
      </w:tblPr>
      <w:tblGrid>
        <w:gridCol w:w="4421"/>
        <w:gridCol w:w="4939"/>
      </w:tblGrid>
      <w:tr>
        <w:trPr>
          <w:cantSplit/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Situation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Approach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No billing intent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 Encounter resource needed; thread stands alone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Billing needed, one patient per session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Create an Encounter per session; link to the thread header via</w:t>
            </w:r>
            <w:r>
              <w:t xml:space="preserve"> </w:t>
            </w:r>
            <w:r>
              <w:rPr>
                <w:rStyle w:val="VerbatimChar"/>
              </w:rPr>
              <w:t xml:space="preserve">Communication.encounter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One thread = one session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Straightforward 1:1 mapping of thread to Encounter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Rolling interaction model (e.g. continuous text thread, grouped by day)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 Encounter spans multiple threads or a time window; multiple thread headers link to the same Encounter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Multiple patients can be in one session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Create a parent session Encounter + one child Encounter per patient via</w:t>
            </w:r>
            <w:r>
              <w:t xml:space="preserve"> </w:t>
            </w:r>
            <w:r>
              <w:rPr>
                <w:rStyle w:val="VerbatimChar"/>
              </w:rPr>
              <w:t xml:space="preserve">Encounter.partOf</w:t>
            </w:r>
            <w:r>
              <w:t xml:space="preserve">; clinical details live on child Encounters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Clinical documentation needed for billing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Populate</w:t>
            </w:r>
            <w:r>
              <w:t xml:space="preserve"> </w:t>
            </w:r>
            <w:r>
              <w:rPr>
                <w:rStyle w:val="VerbatimChar"/>
              </w:rPr>
              <w:t xml:space="preserve">Encounter.participant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Encounter.reasonCode</w:t>
            </w:r>
            <w:r>
              <w:t xml:space="preserve">, and</w:t>
            </w:r>
            <w:r>
              <w:t xml:space="preserve"> </w:t>
            </w:r>
            <w:r>
              <w:rPr>
                <w:rStyle w:val="VerbatimChar"/>
              </w:rPr>
              <w:t xml:space="preserve">Encounter.serviceType</w:t>
            </w:r>
            <w:r>
              <w:t xml:space="preserve"> </w:t>
            </w:r>
            <w:r>
              <w:t xml:space="preserve">per patient Encounter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34"/>
    <w:bookmarkEnd w:id="35"/>
    <w:bookmarkStart w:id="38" w:name="related-integrations"/>
    <w:p>
      <w:pPr>
        <w:pStyle w:val="Heading2"/>
      </w:pPr>
      <w:r>
        <w:t xml:space="preserve">Related Integrations</w:t>
      </w:r>
    </w:p>
    <w:p>
      <w:pPr>
        <w:pStyle w:val="FirstParagraph"/>
      </w:pPr>
      <w:r>
        <w:t xml:space="preserve">The external messaging channels Medplum integrates with first-party — both deliver through FHIR</w:t>
      </w:r>
      <w:r>
        <w:t xml:space="preserve"> </w:t>
      </w:r>
      <w:r>
        <w:rPr>
          <w:rStyle w:val="VerbatimChar"/>
        </w:rPr>
        <w:t xml:space="preserve">Communication</w:t>
      </w:r>
      <w:r>
        <w:t xml:space="preserve"> </w:t>
      </w:r>
      <w:r>
        <w:t xml:space="preserve">resources, so they slot into the thread model above:</w:t>
      </w:r>
    </w:p>
    <w:p>
      <w:pPr>
        <w:numPr>
          <w:ilvl w:val="0"/>
          <w:numId w:val="1013"/>
        </w:numPr>
        <w:pStyle w:val="Compact"/>
      </w:pPr>
      <w:hyperlink r:id="rId36">
        <w:r>
          <w:rPr>
            <w:rStyle w:val="Hyperlink"/>
            <w:bCs/>
            <w:b/>
          </w:rPr>
          <w:t xml:space="preserve">Twilio SMS</w:t>
        </w:r>
      </w:hyperlink>
      <w:r>
        <w:t xml:space="preserve"> </w:t>
      </w:r>
      <w:r>
        <w:t xml:space="preserve">— send and receive SMS via the</w:t>
      </w:r>
      <w:r>
        <w:t xml:space="preserve"> </w:t>
      </w:r>
      <w:r>
        <w:rPr>
          <w:rStyle w:val="VerbatimChar"/>
        </w:rPr>
        <w:t xml:space="preserve">$send-sms-twilio</w:t>
      </w:r>
      <w:r>
        <w:t xml:space="preserve"> </w:t>
      </w:r>
      <w:r>
        <w:t xml:space="preserve">operation.</w:t>
      </w:r>
    </w:p>
    <w:p>
      <w:pPr>
        <w:numPr>
          <w:ilvl w:val="0"/>
          <w:numId w:val="1013"/>
        </w:numPr>
        <w:pStyle w:val="Compact"/>
      </w:pPr>
      <w:hyperlink r:id="rId37">
        <w:r>
          <w:rPr>
            <w:rStyle w:val="Hyperlink"/>
            <w:bCs/>
            <w:b/>
          </w:rPr>
          <w:t xml:space="preserve">eFax</w:t>
        </w:r>
      </w:hyperlink>
      <w:r>
        <w:t xml:space="preserve"> </w:t>
      </w:r>
      <w:r>
        <w:t xml:space="preserve">— send and receive faxes via the</w:t>
      </w:r>
      <w:r>
        <w:t xml:space="preserve"> </w:t>
      </w:r>
      <w:r>
        <w:rPr>
          <w:rStyle w:val="VerbatimChar"/>
        </w:rPr>
        <w:t xml:space="preserve">$send-efax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$receive-efax</w:t>
      </w:r>
      <w:r>
        <w:t xml:space="preserve"> </w:t>
      </w:r>
      <w:r>
        <w:t xml:space="preserve">operations.</w:t>
      </w:r>
    </w:p>
    <w:bookmarkEnd w:id="38"/>
    <w:bookmarkEnd w:id="39"/>
    <w:sectPr>
      <w:pgSz w:h="15840" w:w="12240"/>
      <w:pgMar w:bottom="1440" w:footer="720" w:gutter="0" w:header="720" w:left="1440" w:right="1440" w:top="1440"/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oppins" w:cs="Poppins" w:eastAsia="Poppins" w:hAnsi="Poppins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="Poppins" w:cs="Poppins" w:eastAsia="Poppins" w:hAnsi="Poppins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="Poppins" w:cs="Poppins" w:eastAsia="Poppins" w:hAnsi="Poppins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="Poppins" w:cs="Poppins" w:eastAsia="Poppins" w:hAnsi="Poppins"/>
      <w:color w:val="9C36B5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="Poppins" w:cs="Poppins" w:eastAsia="Poppins" w:hAnsi="Poppins"/>
      <w:color w:val="9C36B5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val="9C36B5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val="9C36B5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val="9C36B5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="Poppins" w:cs="Poppins" w:eastAsia="Poppins" w:hAnsi="Poppins"/>
      <w:color w:val="9C36B5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="Poppins" w:cs="Poppins" w:eastAsia="Poppins" w:hAnsi="Poppins"/>
      <w:color w:val="9C36B5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val="9C36B5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val="9C36B5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val="9C36B5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qFormat/>
    <w:tblPr>
      <w:tblInd w:type="dxa" w:w="0"/>
      <w:tblBorders>
        <w:top w:color="D9C9E8" w:space="0" w:sz="4" w:val="single"/>
        <w:left w:color="D9C9E8" w:space="0" w:sz="4" w:val="single"/>
        <w:bottom w:color="D9C9E8" w:space="0" w:sz="4" w:val="single"/>
        <w:right w:color="D9C9E8" w:space="0" w:sz="4" w:val="single"/>
        <w:insideH w:color="D9C9E8" w:space="0" w:sz="4" w:val="single"/>
        <w:insideV w:color="D9C9E8" w:space="0" w:sz="4" w:val="single"/>
      </w:tblBorders>
      <w:tblCellMar>
        <w:top w:type="dxa" w:w="60"/>
        <w:left w:type="dxa" w:w="108"/>
        <w:bottom w:type="dxa" w:w="60"/>
        <w:right w:type="dxa" w:w="108"/>
      </w:tblCellMar>
    </w:tblPr>
    <w:tblStylePr w:type="firstRow">
      <w:rPr>
        <w:b/>
        <w:color w:val="402C6E"/>
      </w:rPr>
      <w:tcPr>
        <w:shd w:color="auto" w:fill="EFE3F8" w:val="clear"/>
        <w:vAlign w:val="center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val="9C36B5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="Poppins" w:cs="Poppins" w:eastAsia="Poppins" w:hAnsi="Poppins"/>
      <w:b w:val="0"/>
      <w:bCs w:val="0"/>
      <w:color w:val="9C36B5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hyperlink" Id="rId23" Target="/docs/communications" TargetMode="External" /><Relationship Type="http://schemas.openxmlformats.org/officeDocument/2006/relationships/hyperlink" Id="rId37" Target="/docs/integration/efax" TargetMode="External" /><Relationship Type="http://schemas.openxmlformats.org/officeDocument/2006/relationships/hyperlink" Id="rId36" Target="/docs/integration/twilio-sm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/docs/communications" TargetMode="External" /><Relationship Type="http://schemas.openxmlformats.org/officeDocument/2006/relationships/hyperlink" Id="rId37" Target="/docs/integration/efax" TargetMode="External" /><Relationship Type="http://schemas.openxmlformats.org/officeDocument/2006/relationships/hyperlink" Id="rId36" Target="/docs/integration/twilio-sm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1980-01-01T00:00:00Z</dcterms:created>
  <dcterms:modified xsi:type="dcterms:W3CDTF">1980-01-01T00:00:00Z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