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943600" cy="1289649"/>
            <wp:effectExtent b="0" l="0" r="0" t="0"/>
            <wp:docPr descr="Medplum" title="" id="21" name="Picture"/>
            <a:graphic>
              <a:graphicData uri="http://schemas.openxmlformats.org/drawingml/2006/picture">
                <pic:pic>
                  <pic:nvPicPr>
                    <pic:cNvPr descr="medplum-wordmark-grap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intake-registration-decision-guide"/>
    <w:p>
      <w:pPr>
        <w:pStyle w:val="Heading1"/>
      </w:pPr>
      <w:r>
        <w:t xml:space="preserve">Intake &amp; Registration Decision Guide</w:t>
      </w:r>
    </w:p>
    <w:p>
      <w:pPr>
        <w:pStyle w:val="FirstParagraph"/>
      </w:pPr>
      <w:r>
        <w:rPr>
          <w:iCs/>
          <w:i/>
        </w:rPr>
        <w:t xml:space="preserve">Companion to the</w:t>
      </w:r>
      <w:r>
        <w:rPr>
          <w:iCs/>
          <w:i/>
        </w:rPr>
        <w:t xml:space="preserve"> </w:t>
      </w:r>
      <w:hyperlink r:id="rId23">
        <w:r>
          <w:rPr>
            <w:rStyle w:val="Hyperlink"/>
            <w:iCs/>
            <w:i/>
          </w:rPr>
          <w:t xml:space="preserve">Intake &amp; Registration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docs.</w:t>
      </w:r>
    </w:p>
    <w:bookmarkStart w:id="24" w:name="section-1-use-case-participants"/>
    <w:p>
      <w:pPr>
        <w:pStyle w:val="Heading2"/>
      </w:pPr>
      <w:r>
        <w:t xml:space="preserve">Section 1: Use Case &amp; Participants</w:t>
      </w:r>
    </w:p>
    <w:p>
      <w:pPr>
        <w:pStyle w:val="FirstParagraph"/>
      </w:pPr>
      <w:r>
        <w:rPr>
          <w:bCs/>
          <w:b/>
        </w:rPr>
        <w:t xml:space="preserve">1.1 Who completes intake, and in what setting?</w:t>
      </w:r>
    </w:p>
    <w:p>
      <w:pPr>
        <w:numPr>
          <w:ilvl w:val="0"/>
          <w:numId w:val="1001"/>
        </w:numPr>
        <w:pStyle w:val="Compact"/>
      </w:pPr>
      <w:r>
        <w:t xml:space="preserve">Patient self-service (portal, mobile, kiosk)</w:t>
      </w:r>
    </w:p>
    <w:p>
      <w:pPr>
        <w:numPr>
          <w:ilvl w:val="0"/>
          <w:numId w:val="1001"/>
        </w:numPr>
        <w:pStyle w:val="Compact"/>
      </w:pPr>
      <w:r>
        <w:t xml:space="preserve">Staff-assisted (registration desk, rooming, phone, paper-to-digital)</w:t>
      </w:r>
    </w:p>
    <w:p>
      <w:pPr>
        <w:numPr>
          <w:ilvl w:val="0"/>
          <w:numId w:val="1001"/>
        </w:numPr>
        <w:pStyle w:val="Compact"/>
      </w:pPr>
      <w:r>
        <w:t xml:space="preserve">Mixed (patient starts online, staff verifies in person)</w:t>
      </w:r>
    </w:p>
    <w:p>
      <w:pPr>
        <w:pStyle w:val="FirstParagraph"/>
      </w:pPr>
      <w:r>
        <w:rPr>
          <w:iCs/>
          <w:i/>
        </w:rPr>
        <w:t xml:space="preserve">Why: determines the auth model and whether an intake response may exist before the patient record is created (3.1, 3.2).</w:t>
      </w:r>
    </w:p>
    <w:p>
      <w:pPr>
        <w:pStyle w:val="BodyText"/>
      </w:pPr>
      <w:r>
        <w:rPr>
          <w:bCs/>
          <w:b/>
        </w:rPr>
        <w:t xml:space="preserve">1.2 When does intake happen relative to identity and scheduling?</w:t>
      </w:r>
    </w:p>
    <w:p>
      <w:pPr>
        <w:numPr>
          <w:ilvl w:val="0"/>
          <w:numId w:val="1002"/>
        </w:numPr>
        <w:pStyle w:val="Compact"/>
      </w:pPr>
      <w:r>
        <w:t xml:space="preserve">Before the patient record exists (greenfield / new patient signup)</w:t>
      </w:r>
    </w:p>
    <w:p>
      <w:pPr>
        <w:numPr>
          <w:ilvl w:val="0"/>
          <w:numId w:val="1002"/>
        </w:numPr>
        <w:pStyle w:val="Compact"/>
      </w:pPr>
      <w:r>
        <w:t xml:space="preserve">After scheduling, pre-visit (patient exists, no visit yet)</w:t>
      </w:r>
    </w:p>
    <w:p>
      <w:pPr>
        <w:numPr>
          <w:ilvl w:val="0"/>
          <w:numId w:val="1002"/>
        </w:numPr>
        <w:pStyle w:val="Compact"/>
      </w:pPr>
      <w:r>
        <w:t xml:space="preserve">At check-in or during the visit</w:t>
      </w:r>
    </w:p>
    <w:p>
      <w:pPr>
        <w:numPr>
          <w:ilvl w:val="0"/>
          <w:numId w:val="1002"/>
        </w:numPr>
        <w:pStyle w:val="Compact"/>
      </w:pPr>
      <w:r>
        <w:t xml:space="preserve">Episodic updates only (existing patient, not tied to a visit)</w:t>
      </w:r>
    </w:p>
    <w:p>
      <w:pPr>
        <w:pStyle w:val="FirstParagraph"/>
      </w:pPr>
      <w:r>
        <w:rPr>
          <w:iCs/>
          <w:i/>
        </w:rPr>
        <w:t xml:space="preserve">Why: drives whether intake creates or updates a patient record, when responses get tied to a patient, and whether intake tasks link to a visit (3.1, 3.8).</w:t>
      </w:r>
    </w:p>
    <w:p>
      <w:pPr>
        <w:pStyle w:val="BodyText"/>
      </w:pPr>
      <w:r>
        <w:rPr>
          <w:bCs/>
          <w:b/>
        </w:rPr>
        <w:t xml:space="preserve">1.3 How are returning patients and duplicates handled?</w:t>
      </w:r>
    </w:p>
    <w:p>
      <w:pPr>
        <w:numPr>
          <w:ilvl w:val="0"/>
          <w:numId w:val="1003"/>
        </w:numPr>
        <w:pStyle w:val="Compact"/>
      </w:pPr>
      <w:r>
        <w:t xml:space="preserve">Always create a new patient record on intake (rare; only if you have a separate dedup pipeline downstream)</w:t>
      </w:r>
    </w:p>
    <w:p>
      <w:pPr>
        <w:numPr>
          <w:ilvl w:val="0"/>
          <w:numId w:val="1003"/>
        </w:numPr>
        <w:pStyle w:val="Compact"/>
      </w:pPr>
      <w:r>
        <w:t xml:space="preserve">Look up by identifier (e.g. MRN, email, phone) and update if found</w:t>
      </w:r>
    </w:p>
    <w:p>
      <w:pPr>
        <w:numPr>
          <w:ilvl w:val="0"/>
          <w:numId w:val="1003"/>
        </w:numPr>
        <w:pStyle w:val="Compact"/>
      </w:pPr>
      <w:r>
        <w:t xml:space="preserve">Run a demographic candidate search and confirm with staff before merge</w:t>
      </w:r>
    </w:p>
    <w:p>
      <w:pPr>
        <w:numPr>
          <w:ilvl w:val="0"/>
          <w:numId w:val="1003"/>
        </w:numPr>
        <w:pStyle w:val="Compact"/>
      </w:pPr>
      <w:r>
        <w:t xml:space="preserve">Mixed – different rules for patient self-service vs staff-assisted</w:t>
      </w:r>
    </w:p>
    <w:p>
      <w:pPr>
        <w:pStyle w:val="FirstParagraph"/>
      </w:pPr>
      <w:r>
        <w:rPr>
          <w:iCs/>
          <w:i/>
        </w:rPr>
        <w:t xml:space="preserve">Why: drives 3.1 and must align with your org-wide dedup policy.</w:t>
      </w:r>
    </w:p>
    <w:p>
      <w:pPr>
        <w:pStyle w:val="BodyText"/>
      </w:pPr>
      <w:r>
        <w:rPr>
          <w:bCs/>
          <w:b/>
        </w:rPr>
        <w:t xml:space="preserve">1.4 What consents need to be captured at intake, and are any state- or population-specific?</w:t>
      </w:r>
    </w:p>
    <w:p>
      <w:pPr>
        <w:pStyle w:val="BodyText"/>
      </w:pPr>
      <w:r>
        <w:rPr>
          <w:iCs/>
          <w:i/>
        </w:rPr>
        <w:t xml:space="preserve">Why: drives 3.6; sensitive categories may constrain what post-intake automation can auto-share or auto-route (3.7).</w:t>
      </w:r>
    </w:p>
    <w:p>
      <w:pPr>
        <w:pStyle w:val="BodyText"/>
      </w:pPr>
      <w:r>
        <w:rPr>
          <w:bCs/>
          <w:b/>
        </w:rPr>
        <w:t xml:space="preserve">1.5 What other systems must intake feed or read from?</w:t>
      </w:r>
    </w:p>
    <w:p>
      <w:pPr>
        <w:numPr>
          <w:ilvl w:val="0"/>
          <w:numId w:val="1004"/>
        </w:numPr>
        <w:pStyle w:val="Compact"/>
      </w:pPr>
      <w:r>
        <w:t xml:space="preserve">Eligibility / insurance verification (e.g. Stedi, clearinghouse 270/271)</w:t>
      </w:r>
    </w:p>
    <w:p>
      <w:pPr>
        <w:numPr>
          <w:ilvl w:val="0"/>
          <w:numId w:val="1004"/>
        </w:numPr>
        <w:pStyle w:val="Compact"/>
      </w:pPr>
      <w:r>
        <w:t xml:space="preserve">Practice management or legacy EHR (write-back of demographics or coverage)</w:t>
      </w:r>
    </w:p>
    <w:p>
      <w:pPr>
        <w:numPr>
          <w:ilvl w:val="0"/>
          <w:numId w:val="1004"/>
        </w:numPr>
        <w:pStyle w:val="Compact"/>
      </w:pPr>
      <w:r>
        <w:t xml:space="preserve">Prefill sources (Patient Access API, Payer-to-Payer API, partner EHR, HIE/TEFCA) — see 3.3</w:t>
      </w:r>
    </w:p>
    <w:p>
      <w:pPr>
        <w:numPr>
          <w:ilvl w:val="0"/>
          <w:numId w:val="1004"/>
        </w:numPr>
        <w:pStyle w:val="Compact"/>
      </w:pPr>
      <w:r>
        <w:t xml:space="preserve">Referrals (intake initiated by an inbound referral – see the Referrals guide)</w:t>
      </w:r>
    </w:p>
    <w:p>
      <w:pPr>
        <w:pStyle w:val="FirstParagraph"/>
      </w:pPr>
      <w:r>
        <w:rPr>
          <w:iCs/>
          <w:i/>
        </w:rPr>
        <w:t xml:space="preserve">Why: surfaces integration boundaries that affect prefill (3.3), post-intake automation (3.7), and which actions live inside one intake workflow vs separate workflows.</w:t>
      </w:r>
    </w:p>
    <w:p>
      <w:r>
        <w:pict>
          <v:rect style="width:0;height:1.5pt" o:hralign="center" o:hrstd="t" o:hr="t"/>
        </w:pict>
      </w:r>
    </w:p>
    <w:bookmarkEnd w:id="24"/>
    <w:bookmarkStart w:id="25" w:name="section-2-feature-scoping"/>
    <w:p>
      <w:pPr>
        <w:pStyle w:val="Heading2"/>
      </w:pPr>
      <w:r>
        <w:t xml:space="preserve">Section 2: Feature Scoping</w:t>
      </w:r>
    </w:p>
    <w:p>
      <w:pPr>
        <w:pStyle w:val="FirstParagraph"/>
      </w:pPr>
      <w:r>
        <w:rPr>
          <w:iCs/>
          <w:i/>
        </w:rPr>
        <w:t xml:space="preserve">Go through each row together. For each cell under Yes / No / Nice-to-have / Not sure, mark the customer’s answer. The</w:t>
      </w:r>
      <w:r>
        <w:t xml:space="preserve"> </w:t>
      </w:r>
      <w:r>
        <w:rPr>
          <w:bCs/>
          <w:b/>
        </w:rPr>
        <w:t xml:space="preserve">Deep dive</w:t>
      </w:r>
      <w:r>
        <w:t xml:space="preserve"> </w:t>
      </w:r>
      <w:r>
        <w:rPr>
          <w:iCs/>
          <w:i/>
        </w:rPr>
        <w:t xml:space="preserve">column points to the Section 3 subsection that covers each feature.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600"/>
        <w:gridCol w:w="3320"/>
        <w:gridCol w:w="1069"/>
        <w:gridCol w:w="740"/>
        <w:gridCol w:w="600"/>
        <w:gridCol w:w="2000"/>
        <w:gridCol w:w="103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Deep dive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Nice-to-have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sure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 intake forms by visit type, program, or language (vs one universal form)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Separate vs shared questionnaires for patient self-service and staff-assisted intake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Non-form intake modality (conversational chatbot, voice agent) feeding the same data shape as the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identity handling at intake — identifier lookup, demographic match search, and pre-auth start linked to a patient record later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Prefill intake from prior data, payer/HIE/EHR sources, or insurance card OCR; reconciliation when patient input disagrees with the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Insurance capture with card images, multiple plans, and non-patient subscriber (e.g. parent’s plan covering a child)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clinical history (allergies, medications, conditions, SDOH, immunizations, family history) and persist as distinct structured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3.2, 3.4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 consent types captured at intake, with renewal triggers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Post-intake automation: notify staff, run eligibility, create exception tasks, route to a care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Multi-step or multi-author intake, with steps that appear in the provider’s visit chart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Treat</w:t>
            </w:r>
            <w:r>
              <w:t xml:space="preserve"> </w:t>
            </w:r>
            <w:r>
              <w:t xml:space="preserve">“</w:t>
            </w:r>
            <w:r>
              <w:t xml:space="preserve">intake complete</w:t>
            </w:r>
            <w:r>
              <w:t xml:space="preserve">”</w:t>
            </w:r>
            <w:r>
              <w:t xml:space="preserve"> </w:t>
            </w:r>
            <w:r>
              <w:t xml:space="preserve">as a tracked operational status that gates downstream work (scheduling, clinical)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43" w:name="section-3-feature-deep-dives"/>
    <w:p>
      <w:pPr>
        <w:pStyle w:val="Heading2"/>
      </w:pPr>
      <w:r>
        <w:t xml:space="preserve">Section 3: Feature Deep Dives</w:t>
      </w:r>
    </w:p>
    <w:p>
      <w:pPr>
        <w:pStyle w:val="FirstParagraph"/>
      </w:pPr>
      <w:r>
        <w:rPr>
          <w:iCs/>
          <w:i/>
        </w:rPr>
        <w:t xml:space="preserve">Cover each feature flagged Yes or Nice-to-have in Section 2. The goal is to land on a clear recommended approach by the end of each section.</w:t>
      </w:r>
    </w:p>
    <w:p>
      <w:pPr>
        <w:pStyle w:val="BodyText"/>
      </w:pPr>
      <w:r>
        <w:t xml:space="preserve">Section 3 is grouped into three lanes: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684"/>
        <w:gridCol w:w="1860"/>
        <w:gridCol w:w="481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Lane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to read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Capture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 – 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Coverage &amp; Consent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– 3.6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coverage or consent is in scope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After Submission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 – 3.9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32" w:name="capture"/>
    <w:p>
      <w:pPr>
        <w:pStyle w:val="Heading3"/>
      </w:pPr>
      <w:r>
        <w:t xml:space="preserve">Capture</w:t>
      </w:r>
    </w:p>
    <w:bookmarkStart w:id="27" w:name="patient-identity-at-intake"/>
    <w:p>
      <w:pPr>
        <w:pStyle w:val="Heading4"/>
      </w:pPr>
      <w:r>
        <w:t xml:space="preserve">3.1 Patient Identity at Intake</w:t>
      </w:r>
    </w:p>
    <w:p>
      <w:pPr>
        <w:pStyle w:val="FirstParagraph"/>
      </w:pPr>
      <w:r>
        <w:t xml:space="preserve">Decide whether intake creates a new patient record, updates an existing one, or runs unlinked until a human confirms a match – and how the intake response gets tied to the right patient. For matching rules, master records, and merge mechanics, defer to</w:t>
      </w:r>
      <w:r>
        <w:t xml:space="preserve"> </w:t>
      </w:r>
      <w:hyperlink r:id="rId26">
        <w:r>
          <w:rPr>
            <w:rStyle w:val="Hyperlink"/>
          </w:rPr>
          <w:t xml:space="preserve">Patient Deduplication Architectures</w:t>
        </w:r>
      </w:hyperlink>
      <w:r>
        <w:t xml:space="preserve"> </w:t>
      </w:r>
      <w:r>
        <w:t xml:space="preserve">and [Patient</w:t>
      </w:r>
      <w:r>
        <w:t xml:space="preserve"> </w:t>
      </w:r>
      <w:r>
        <w:rPr>
          <w:rStyle w:val="VerbatimChar"/>
        </w:rPr>
        <w:t xml:space="preserve">$match](/docs/api/fhir/operations/patient-match)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5"/>
        </w:numPr>
        <w:pStyle w:val="Compact"/>
      </w:pPr>
      <w:r>
        <w:t xml:space="preserve">Does the patient record exist before intake is filled out, after, or sometimes either?</w:t>
      </w:r>
    </w:p>
    <w:p>
      <w:pPr>
        <w:numPr>
          <w:ilvl w:val="0"/>
          <w:numId w:val="1005"/>
        </w:numPr>
        <w:pStyle w:val="Compact"/>
      </w:pPr>
      <w:r>
        <w:t xml:space="preserve">Do you run an identifier lookup, a demographic match search, both, or neither before creating a new patient record?</w:t>
      </w:r>
    </w:p>
    <w:p>
      <w:pPr>
        <w:numPr>
          <w:ilvl w:val="0"/>
          <w:numId w:val="1005"/>
        </w:numPr>
        <w:pStyle w:val="Compact"/>
      </w:pPr>
      <w:r>
        <w:t xml:space="preserve">When a match is ambiguous, does the intake response stay unlinked until a human confirms, or does the system pick the best candidate automatically?</w:t>
      </w:r>
    </w:p>
    <w:p>
      <w:pPr>
        <w:numPr>
          <w:ilvl w:val="0"/>
          <w:numId w:val="1005"/>
        </w:numPr>
        <w:pStyle w:val="Compact"/>
      </w:pPr>
      <w:r>
        <w:t xml:space="preserve">For self-service flows, can a patient submit intake before authenticating, and how is that response later associated with an account?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165"/>
        <w:gridCol w:w="5195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exists before intake (scheduled visit, returning patient)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</w:t>
            </w:r>
            <w:r>
              <w:t xml:space="preserve"> </w:t>
            </w:r>
            <w:r>
              <w:rPr>
                <w:rStyle w:val="VerbatimChar"/>
              </w:rPr>
              <w:t xml:space="preserve">QuestionnaireResponse.subject</w:t>
            </w:r>
            <w:r>
              <w:t xml:space="preserve"> </w:t>
            </w:r>
            <w:r>
              <w:t xml:space="preserve">at create; intake Bot updates the existing Patient.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New patient, no candidate match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Intake Bot creates Patient, then back-fills</w:t>
            </w:r>
            <w:r>
              <w:t xml:space="preserve"> </w:t>
            </w:r>
            <w:r>
              <w:rPr>
                <w:rStyle w:val="VerbatimChar"/>
              </w:rPr>
              <w:t xml:space="preserve">QuestionnaireResponse.subject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New patient, demographic search returns candidates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Patient</w:t>
            </w:r>
            <w:r>
              <w:t xml:space="preserve"> </w:t>
            </w:r>
            <w:r>
              <w:rPr>
                <w:rStyle w:val="VerbatimChar"/>
              </w:rPr>
              <w:t xml:space="preserve">$match</w:t>
            </w:r>
            <w:r>
              <w:t xml:space="preserve"> </w:t>
            </w:r>
            <w:r>
              <w:t xml:space="preserve">for built-in scoring; require human confirmation in a Task before linking.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Anonymous / pre-auth 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 QuestionnaireResponse without</w:t>
            </w:r>
            <w:r>
              <w:t xml:space="preserve"> </w:t>
            </w:r>
            <w:r>
              <w:rPr>
                <w:rStyle w:val="VerbatimChar"/>
              </w:rPr>
              <w:t xml:space="preserve">subject</w:t>
            </w:r>
            <w:r>
              <w:t xml:space="preserve">; link at the next authenticated step or staff review. Track unlinked responses for cleanup.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form-library-capture-flow"/>
    <w:p>
      <w:pPr>
        <w:pStyle w:val="Heading4"/>
      </w:pPr>
      <w:r>
        <w:t xml:space="preserve">3.2 Form Library &amp; Capture Flow</w:t>
      </w:r>
    </w:p>
    <w:p>
      <w:pPr>
        <w:pStyle w:val="FirstParagraph"/>
      </w:pPr>
      <w:r>
        <w:t xml:space="preserve">Decide whether intake uses one universal form or several, whether the same form serves both patient self-service and staff-assisted flows, and how non-form modalities (chat, voice) feed into the same data.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6"/>
        </w:numPr>
        <w:pStyle w:val="Compact"/>
      </w:pPr>
      <w:r>
        <w:t xml:space="preserve">One intake form for everyone, or different forms by visit type, program, or language?</w:t>
      </w:r>
    </w:p>
    <w:p>
      <w:pPr>
        <w:numPr>
          <w:ilvl w:val="0"/>
          <w:numId w:val="1006"/>
        </w:numPr>
        <w:pStyle w:val="Compact"/>
      </w:pPr>
      <w:r>
        <w:t xml:space="preserve">Same form for patient self-service and staff-assisted, or separate forms tuned to each audience?</w:t>
      </w:r>
    </w:p>
    <w:p>
      <w:pPr>
        <w:numPr>
          <w:ilvl w:val="0"/>
          <w:numId w:val="1006"/>
        </w:numPr>
        <w:pStyle w:val="Compact"/>
      </w:pPr>
      <w:r>
        <w:t xml:space="preserve">If you offer conversational or voice intake, does the transcript land in the same data shape as the form, or in a separate pipeline?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503"/>
        <w:gridCol w:w="485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One form for everyone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</w:t>
            </w:r>
            <w:r>
              <w:t xml:space="preserve"> </w:t>
            </w:r>
            <w:r>
              <w:rPr>
                <w:rStyle w:val="VerbatimChar"/>
              </w:rPr>
              <w:t xml:space="preserve">Questionnaire</w:t>
            </w:r>
            <w:r>
              <w:t xml:space="preserve">; one Bot maps to one consistent set of FHIR resources.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Forms by visit type, program, or language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</w:t>
            </w:r>
            <w:r>
              <w:t xml:space="preserve"> </w:t>
            </w:r>
            <w:r>
              <w:rPr>
                <w:rStyle w:val="VerbatimChar"/>
              </w:rPr>
              <w:t xml:space="preserve">Questionnaire</w:t>
            </w:r>
            <w:r>
              <w:t xml:space="preserve">s with shared</w:t>
            </w:r>
            <w:r>
              <w:t xml:space="preserve"> </w:t>
            </w:r>
            <w:r>
              <w:rPr>
                <w:rStyle w:val="VerbatimChar"/>
              </w:rPr>
              <w:t xml:space="preserve">linkId</w:t>
            </w:r>
            <w:r>
              <w:t xml:space="preserve"> </w:t>
            </w:r>
            <w:r>
              <w:t xml:space="preserve">conventions; Subscription criteria can target specific</w:t>
            </w:r>
            <w:r>
              <w:t xml:space="preserve"> </w:t>
            </w:r>
            <w:r>
              <w:rPr>
                <w:rStyle w:val="VerbatimChar"/>
              </w:rPr>
              <w:t xml:space="preserve">questionnaire</w:t>
            </w:r>
            <w:r>
              <w:t xml:space="preserve"> </w:t>
            </w:r>
            <w:r>
              <w:t xml:space="preserve">URLs (see 3.7).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vs staff variants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Either reuse one Questionnaire with a</w:t>
            </w:r>
            <w:r>
              <w:t xml:space="preserve"> </w:t>
            </w:r>
            <w:r>
              <w:t xml:space="preserve">“</w:t>
            </w:r>
            <w:r>
              <w:t xml:space="preserve">completed-by</w:t>
            </w:r>
            <w:r>
              <w:t xml:space="preserve">”</w:t>
            </w:r>
            <w:r>
              <w:t xml:space="preserve"> </w:t>
            </w:r>
            <w:r>
              <w:t xml:space="preserve">gate, or maintain parallel Questionnaires that map to the same target resources.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Conversational or voice intake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 a</w:t>
            </w:r>
            <w:r>
              <w:t xml:space="preserve"> </w:t>
            </w:r>
            <w:r>
              <w:rPr>
                <w:rStyle w:val="VerbatimChar"/>
              </w:rPr>
              <w:t xml:space="preserve">Questionnaire</w:t>
            </w:r>
            <w:r>
              <w:t xml:space="preserve"> </w:t>
            </w:r>
            <w:r>
              <w:t xml:space="preserve">as the authoritative schema for what’s collected; the chatbot or voice agent maps transcript fields to</w:t>
            </w:r>
            <w:r>
              <w:t xml:space="preserve"> </w:t>
            </w:r>
            <w:r>
              <w:rPr>
                <w:rStyle w:val="VerbatimChar"/>
              </w:rPr>
              <w:t xml:space="preserve">linkId</w:t>
            </w:r>
            <w:r>
              <w:t xml:space="preserve">s before submitting a</w:t>
            </w:r>
            <w:r>
              <w:t xml:space="preserve"> </w:t>
            </w:r>
            <w:r>
              <w:rPr>
                <w:rStyle w:val="VerbatimChar"/>
              </w:rPr>
              <w:t xml:space="preserve">QuestionnaireResponse</w:t>
            </w:r>
            <w:r>
              <w:t xml:space="preserve">. Downstream extraction (3.4) stays the same.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prefill-reconciliation"/>
    <w:p>
      <w:pPr>
        <w:pStyle w:val="Heading4"/>
      </w:pPr>
      <w:r>
        <w:t xml:space="preserve">3.3 Prefill &amp; Reconciliation</w:t>
      </w:r>
    </w:p>
    <w:p>
      <w:pPr>
        <w:pStyle w:val="FirstParagraph"/>
      </w:pPr>
      <w:r>
        <w:t xml:space="preserve">Decide whether intake starts blank or arrives pre-populated, where prefill data comes from, and how patient corrections are reconciled with the upstream source. Prefill is a superset of HIE — HIE is one source among many.</w:t>
      </w:r>
    </w:p>
    <w:p>
      <w:pPr>
        <w:pStyle w:val="BodyText"/>
      </w:pPr>
      <w:r>
        <w:rPr>
          <w:bCs/>
          <w:b/>
        </w:rPr>
        <w:t xml:space="preserve">⚠ One-way door:</w:t>
      </w:r>
      <w:r>
        <w:t xml:space="preserve"> </w:t>
      </w:r>
      <w:r>
        <w:t xml:space="preserve">Once intake silently overwrites existing records from a prefill source, distinguishing</w:t>
      </w:r>
      <w:r>
        <w:t xml:space="preserve"> </w:t>
      </w:r>
      <w:r>
        <w:t xml:space="preserve">“</w:t>
      </w:r>
      <w:r>
        <w:t xml:space="preserve">patient said X</w:t>
      </w:r>
      <w:r>
        <w:t xml:space="preserve">”</w:t>
      </w:r>
      <w:r>
        <w:t xml:space="preserve"> </w:t>
      </w:r>
      <w:r>
        <w:t xml:space="preserve">from</w:t>
      </w:r>
      <w:r>
        <w:t xml:space="preserve"> </w:t>
      </w:r>
      <w:r>
        <w:t xml:space="preserve">“</w:t>
      </w:r>
      <w:r>
        <w:t xml:space="preserve">source said X</w:t>
      </w:r>
      <w:r>
        <w:t xml:space="preserve">”</w:t>
      </w:r>
      <w:r>
        <w:t xml:space="preserve"> </w:t>
      </w:r>
      <w:r>
        <w:t xml:space="preserve">after the fact requires per-field origin tracking. Set the origin-tracking pattern before launch; retrofitting historical responses is painful.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7"/>
        </w:numPr>
        <w:pStyle w:val="Compact"/>
      </w:pPr>
      <w:r>
        <w:t xml:space="preserve">Does the form start blank, prefilled from data you already hold (returning patient, prior visit), or prefilled from an external source?</w:t>
      </w:r>
    </w:p>
    <w:p>
      <w:pPr>
        <w:numPr>
          <w:ilvl w:val="0"/>
          <w:numId w:val="1007"/>
        </w:numPr>
        <w:pStyle w:val="Compact"/>
      </w:pPr>
      <w:r>
        <w:t xml:space="preserve">Which external sources are in scope (insurance card OCR, Patient Access API, Payer-to-Payer API, partner EHR, TEFCA/QHIN, state or regional HIE)?</w:t>
      </w:r>
    </w:p>
    <w:p>
      <w:pPr>
        <w:numPr>
          <w:ilvl w:val="0"/>
          <w:numId w:val="1007"/>
        </w:numPr>
        <w:pStyle w:val="Compact"/>
      </w:pPr>
      <w:r>
        <w:t xml:space="preserve">When prefilled data and patient input disagree, who wins — the source, the patient, or staff?</w:t>
      </w:r>
    </w:p>
    <w:p>
      <w:pPr>
        <w:numPr>
          <w:ilvl w:val="0"/>
          <w:numId w:val="1007"/>
        </w:numPr>
        <w:pStyle w:val="Compact"/>
      </w:pPr>
      <w:r>
        <w:t xml:space="preserve">Does the patient see prefilled values and explicitly confirm, or is prefill silent?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494"/>
        <w:gridCol w:w="486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Source 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Choose any combination of: internal (returning patient / prior intake), insurance card OCR, patient-mediated FHIR pull (Patient Access API / SMART-on-FHIR / partner EHR), Payer-to-Payer (CMS-0057, Jan 2027), HIE / TEFCA / QHIN. Each lands as draft resources for reconciliation.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Conflict resolution 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Pick one per field domain: source-wins (administrative), patient-wins (clinical history), last-write-wins, or prompt staff. Document it; don’t leave it per-field.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Provenance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</w:t>
            </w:r>
            <w:r>
              <w:t xml:space="preserve"> </w:t>
            </w:r>
            <w:r>
              <w:rPr>
                <w:rStyle w:val="VerbatimChar"/>
              </w:rPr>
              <w:t xml:space="preserve">Provenance</w:t>
            </w:r>
            <w:r>
              <w:t xml:space="preserve"> </w:t>
            </w:r>
            <w:r>
              <w:t xml:space="preserve">resource per prefilled field (or batched per source pull) so downstream consumers know origin and pull date.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visibility and refresh 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 to</w:t>
            </w:r>
            <w:r>
              <w:t xml:space="preserve"> </w:t>
            </w:r>
            <w:r>
              <w:t xml:space="preserve">“</w:t>
            </w:r>
            <w:r>
              <w:t xml:space="preserve">show and confirm</w:t>
            </w:r>
            <w:r>
              <w:t xml:space="preserve">”</w:t>
            </w:r>
            <w:r>
              <w:t xml:space="preserve"> </w:t>
            </w:r>
            <w:r>
              <w:t xml:space="preserve">for clinical and demographic fields; silent prefill is acceptable for low-risk administrative fields when audit is in place. One-shot pull at form open is the safest default; re-pull on submit only for high-volatility sources (e.g. active coverage status).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9"/>
    <w:bookmarkStart w:id="31" w:name="extraction-model-sdc-vs-bot"/>
    <w:p>
      <w:pPr>
        <w:pStyle w:val="Heading4"/>
      </w:pPr>
      <w:r>
        <w:t xml:space="preserve">3.4 Extraction Model – SDC vs Bot</w:t>
      </w:r>
    </w:p>
    <w:p>
      <w:pPr>
        <w:pStyle w:val="FirstParagraph"/>
      </w:pPr>
      <w:r>
        <w:t xml:space="preserve">Decide where extraction logic lives: on the form itself (declarative SDC rules) or in custom code – and how you handle resubmissions without creating duplicate records.</w:t>
      </w:r>
    </w:p>
    <w:p>
      <w:pPr>
        <w:pStyle w:val="BodyText"/>
      </w:pPr>
      <w:r>
        <w:rPr>
          <w:bCs/>
          <w:b/>
        </w:rPr>
        <w:t xml:space="preserve">⚠ One-way door:</w:t>
      </w:r>
      <w:r>
        <w:t xml:space="preserve"> </w:t>
      </w:r>
      <w:r>
        <w:t xml:space="preserve">Once a form is in production and its field identifiers are referenced by extraction code or templates, renaming them requires migrating historical responses or maintaining a translation layer. Decide naming conventions before launch.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8"/>
        </w:numPr>
        <w:pStyle w:val="Compact"/>
      </w:pPr>
      <w:r>
        <w:t xml:space="preserve">Does extraction need conditional logic (only create a subscriber/guardian record when the subscriber is not the patient, only create a consent record when the patient agreed)?</w:t>
      </w:r>
    </w:p>
    <w:p>
      <w:pPr>
        <w:numPr>
          <w:ilvl w:val="0"/>
          <w:numId w:val="1008"/>
        </w:numPr>
        <w:pStyle w:val="Compact"/>
      </w:pPr>
      <w:r>
        <w:t xml:space="preserve">Does extraction need to call external APIs (eligibility, address validation, geocoding) during processing?</w:t>
      </w:r>
    </w:p>
    <w:p>
      <w:pPr>
        <w:numPr>
          <w:ilvl w:val="0"/>
          <w:numId w:val="1008"/>
        </w:numPr>
        <w:pStyle w:val="Compact"/>
      </w:pPr>
      <w:r>
        <w:t xml:space="preserve">When intake is resubmitted (annual update, correction), what should happen to existing allergies, medications, conditions, and coverage records?</w:t>
      </w:r>
    </w:p>
    <w:p>
      <w:pPr>
        <w:numPr>
          <w:ilvl w:val="0"/>
          <w:numId w:val="1008"/>
        </w:numPr>
        <w:pStyle w:val="Compact"/>
      </w:pPr>
      <w:r>
        <w:t xml:space="preserve">Will non-engineers update the form, and how often?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508"/>
        <w:gridCol w:w="4852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Simple field-to-resource mapping, no conditionals, no external calls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SDC</w:t>
            </w:r>
            <w:r>
              <w:t xml:space="preserve"> </w:t>
            </w:r>
            <w:r>
              <w:rPr>
                <w:rStyle w:val="VerbatimChar"/>
              </w:rPr>
              <w:t xml:space="preserve">$extract</w:t>
            </w:r>
            <w:r>
              <w:t xml:space="preserve"> </w:t>
            </w:r>
            <w:r>
              <w:t xml:space="preserve">with template resources in</w:t>
            </w:r>
            <w:r>
              <w:t xml:space="preserve"> </w:t>
            </w:r>
            <w:r>
              <w:rPr>
                <w:rStyle w:val="VerbatimChar"/>
              </w:rPr>
              <w:t xml:space="preserve">Questionnaire.contained</w:t>
            </w:r>
            <w:r>
              <w:t xml:space="preserve">; rules ship with the form.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Conditional resource creation, external API calls, custom 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 triggered by Subscription on</w:t>
            </w:r>
            <w:r>
              <w:t xml:space="preserve"> </w:t>
            </w:r>
            <w:r>
              <w:rPr>
                <w:rStyle w:val="VerbatimChar"/>
              </w:rPr>
              <w:t xml:space="preserve">QuestionnaireResponse</w:t>
            </w:r>
            <w:r>
              <w:t xml:space="preserve">; use</w:t>
            </w:r>
            <w:r>
              <w:t xml:space="preserve"> </w:t>
            </w:r>
            <w:r>
              <w:rPr>
                <w:rStyle w:val="VerbatimChar"/>
              </w:rPr>
              <w:t xml:space="preserve">getQuestionnaireAnswers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getGroupRepeatedAnswers</w:t>
            </w:r>
            <w:r>
              <w:t xml:space="preserve"> </w:t>
            </w:r>
            <w:r>
              <w:t xml:space="preserve">from</w:t>
            </w:r>
            <w:r>
              <w:t xml:space="preserve"> </w:t>
            </w:r>
            <w:r>
              <w:rPr>
                <w:rStyle w:val="VerbatimChar"/>
              </w:rPr>
              <w:t xml:space="preserve">@medplum/core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SDC for the deterministic mapping, Bot for the conditional / external pieces.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Resubmission without duplicates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Upsert clinical history by stable natural keys: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code</w:t>
            </w:r>
            <w:r>
              <w:t xml:space="preserve"> </w:t>
            </w:r>
            <w:r>
              <w:t xml:space="preserve">for AllergyIntolerance;</w:t>
            </w:r>
            <w:r>
              <w:t xml:space="preserve"> </w:t>
            </w:r>
            <w:r>
              <w:rPr>
                <w:rStyle w:val="VerbatimChar"/>
              </w:rPr>
              <w:t xml:space="preserve">subject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code</w:t>
            </w:r>
            <w:r>
              <w:t xml:space="preserve"> </w:t>
            </w:r>
            <w:r>
              <w:t xml:space="preserve">for MedicationRequest / Condition;</w:t>
            </w:r>
            <w:r>
              <w:t xml:space="preserve"> </w:t>
            </w:r>
            <w:r>
              <w:rPr>
                <w:rStyle w:val="VerbatimChar"/>
              </w:rPr>
              <w:t xml:space="preserve">beneficiary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payor</w:t>
            </w:r>
            <w:r>
              <w:t xml:space="preserve"> </w:t>
            </w:r>
            <w:r>
              <w:t xml:space="preserve">for Coverage. See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Intake Data Model → Resource Role Reference</w:t>
              </w:r>
            </w:hyperlink>
            <w:r>
              <w:t xml:space="preserve">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1"/>
    <w:bookmarkEnd w:id="32"/>
    <w:bookmarkStart w:id="36" w:name="coverage-consent"/>
    <w:p>
      <w:pPr>
        <w:pStyle w:val="Heading3"/>
      </w:pPr>
      <w:r>
        <w:t xml:space="preserve">Coverage &amp; Consent</w:t>
      </w:r>
    </w:p>
    <w:bookmarkStart w:id="34" w:name="coverage-subscriber-relationships"/>
    <w:p>
      <w:pPr>
        <w:pStyle w:val="Heading4"/>
      </w:pPr>
      <w:r>
        <w:t xml:space="preserve">3.5 Coverage &amp; Subscriber Relationships</w:t>
      </w:r>
    </w:p>
    <w:p>
      <w:pPr>
        <w:pStyle w:val="FirstParagraph"/>
      </w:pPr>
      <w:r>
        <w:t xml:space="preserve">Decide how insurance is modeled, especially when the subscriber is not the patient, and how payers are sourced (curated directory or created on demand).</w:t>
      </w:r>
    </w:p>
    <w:p>
      <w:pPr>
        <w:pStyle w:val="BodyText"/>
      </w:pPr>
      <w:r>
        <w:rPr>
          <w:bCs/>
          <w:b/>
        </w:rPr>
        <w:t xml:space="preserve">⚠ One-way door:</w:t>
      </w:r>
      <w:r>
        <w:t xml:space="preserve"> </w:t>
      </w:r>
      <w:r>
        <w:t xml:space="preserve">On the coverage record, the relationship field describes the</w:t>
      </w:r>
      <w:r>
        <w:t xml:space="preserve"> </w:t>
      </w:r>
      <w:r>
        <w:rPr>
          <w:bCs/>
          <w:b/>
        </w:rPr>
        <w:t xml:space="preserve">patient’s</w:t>
      </w:r>
      <w:r>
        <w:t xml:space="preserve"> </w:t>
      </w:r>
      <w:r>
        <w:t xml:space="preserve">relationship to the subscriber; on the linked subscriber/guardian record, the relationship field describes that person’s relationship to the patient – they invert (if coverage says</w:t>
      </w:r>
      <w:r>
        <w:t xml:space="preserve"> </w:t>
      </w:r>
      <w:r>
        <w:t xml:space="preserve">“</w:t>
      </w:r>
      <w:r>
        <w:t xml:space="preserve">child</w:t>
      </w:r>
      <w:r>
        <w:t xml:space="preserve">”</w:t>
      </w:r>
      <w:r>
        <w:t xml:space="preserve">, the subscriber is</w:t>
      </w:r>
      <w:r>
        <w:t xml:space="preserve"> </w:t>
      </w:r>
      <w:r>
        <w:t xml:space="preserve">“</w:t>
      </w:r>
      <w:r>
        <w:t xml:space="preserve">parent</w:t>
      </w:r>
      <w:r>
        <w:t xml:space="preserve">”</w:t>
      </w:r>
      <w:r>
        <w:t xml:space="preserve">). Encoding this incorrectly is one of the most common intake bugs and is hard to retroactively fix on historical data.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9"/>
        </w:numPr>
        <w:pStyle w:val="Compact"/>
      </w:pPr>
      <w:r>
        <w:t xml:space="preserve">Are multiple coverages (primary / secondary) captured at intake, or only primary?</w:t>
      </w:r>
    </w:p>
    <w:p>
      <w:pPr>
        <w:numPr>
          <w:ilvl w:val="0"/>
          <w:numId w:val="1009"/>
        </w:numPr>
        <w:pStyle w:val="Compact"/>
      </w:pPr>
      <w:r>
        <w:t xml:space="preserve">Is the subscriber sometimes someone other than the patient (e.g. a parent’s plan covering a child)?</w:t>
      </w:r>
    </w:p>
    <w:p>
      <w:pPr>
        <w:numPr>
          <w:ilvl w:val="0"/>
          <w:numId w:val="1009"/>
        </w:numPr>
        <w:pStyle w:val="Compact"/>
      </w:pPr>
      <w:r>
        <w:t xml:space="preserve">Do you capture insurance card images, and where do they live?</w:t>
      </w:r>
    </w:p>
    <w:p>
      <w:pPr>
        <w:numPr>
          <w:ilvl w:val="0"/>
          <w:numId w:val="1009"/>
        </w:numPr>
        <w:pStyle w:val="Compact"/>
      </w:pPr>
      <w:r>
        <w:t xml:space="preserve">Are payers pre-loaded as a curated directory, or created on demand?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784"/>
        <w:gridCol w:w="557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Subscriber is the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subscriber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relationship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self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Subscriber is not the patient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RelatedPerson</w:t>
            </w:r>
            <w:r>
              <w:t xml:space="preserve">; remember the</w:t>
            </w:r>
            <w:r>
              <w:t xml:space="preserve"> </w:t>
            </w:r>
            <w:r>
              <w:rPr>
                <w:bCs/>
                <w:b/>
              </w:rPr>
              <w:t xml:space="preserve">inversion</w:t>
            </w:r>
            <w:r>
              <w:t xml:space="preserve">: if</w:t>
            </w:r>
            <w:r>
              <w:t xml:space="preserve"> </w:t>
            </w:r>
            <w:r>
              <w:rPr>
                <w:rStyle w:val="VerbatimChar"/>
              </w:rPr>
              <w:t xml:space="preserve">Coverage.relationship</w:t>
            </w:r>
            <w:r>
              <w:t xml:space="preserve"> </w:t>
            </w:r>
            <w:r>
              <w:t xml:space="preserve">is</w:t>
            </w:r>
            <w:r>
              <w:t xml:space="preserve"> </w:t>
            </w:r>
            <w:r>
              <w:rPr>
                <w:rStyle w:val="VerbatimChar"/>
              </w:rPr>
              <w:t xml:space="preserve">child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RelatedPerson.relationship</w:t>
            </w:r>
            <w:r>
              <w:t xml:space="preserve"> </w:t>
            </w:r>
            <w:r>
              <w:t xml:space="preserve">is parent. See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Intake Data Model → RelatedPerson and Insurance Coverage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Multiple coverages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per plan; use</w:t>
            </w:r>
            <w:r>
              <w:t xml:space="preserve"> </w:t>
            </w:r>
            <w:r>
              <w:rPr>
                <w:rStyle w:val="VerbatimChar"/>
              </w:rPr>
              <w:t xml:space="preserve">order</w:t>
            </w:r>
            <w:r>
              <w:t xml:space="preserve"> </w:t>
            </w:r>
            <w:r>
              <w:t xml:space="preserve">to indicate primary vs secondary.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Card image capture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the image as a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 </w:t>
            </w:r>
            <w:r>
              <w:t xml:space="preserve">and link it to the Coverage via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DocumentReference.context.related</w:t>
            </w:r>
            <w:r>
              <w:t xml:space="preserve">; for full modeling see</w:t>
            </w:r>
            <w:r>
              <w:t xml:space="preserve"> </w:t>
            </w:r>
            <w:hyperlink r:id="rId33">
              <w:r>
                <w:rPr>
                  <w:rStyle w:val="Hyperlink"/>
                </w:rPr>
                <w:t xml:space="preserve">Patient Insurance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 directory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Curated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 </w:t>
            </w:r>
            <w:r>
              <w:t xml:space="preserve">resources searched by the form; fall back to</w:t>
            </w:r>
            <w:r>
              <w:t xml:space="preserve"> </w:t>
            </w:r>
            <w:r>
              <w:t xml:space="preserve">“</w:t>
            </w:r>
            <w:r>
              <w:t xml:space="preserve">create if missing</w:t>
            </w:r>
            <w:r>
              <w:t xml:space="preserve">”</w:t>
            </w:r>
            <w:r>
              <w:t xml:space="preserve"> </w:t>
            </w:r>
            <w:r>
              <w:t xml:space="preserve">only when scope is too broad to curate.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4"/>
    <w:bookmarkStart w:id="35" w:name="consents"/>
    <w:p>
      <w:pPr>
        <w:pStyle w:val="Heading4"/>
      </w:pPr>
      <w:r>
        <w:t xml:space="preserve">3.6 Consents</w:t>
      </w:r>
    </w:p>
    <w:p>
      <w:pPr>
        <w:pStyle w:val="FirstParagraph"/>
      </w:pPr>
      <w:r>
        <w:t xml:space="preserve">Decide which consent types are captured, how they’re modeled, and what triggers re-consent.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0"/>
        </w:numPr>
        <w:pStyle w:val="Compact"/>
      </w:pPr>
      <w:r>
        <w:t xml:space="preserve">Which consent types are required at first intake vs deferred (HIPAA, treatment, financial, telehealth, research)?</w:t>
      </w:r>
    </w:p>
    <w:p>
      <w:pPr>
        <w:numPr>
          <w:ilvl w:val="0"/>
          <w:numId w:val="1010"/>
        </w:numPr>
        <w:pStyle w:val="Compact"/>
      </w:pPr>
      <w:r>
        <w:t xml:space="preserve">Are some consents conditional on patient attributes (minor, state of residence, payer)?</w:t>
      </w:r>
    </w:p>
    <w:p>
      <w:pPr>
        <w:numPr>
          <w:ilvl w:val="0"/>
          <w:numId w:val="1010"/>
        </w:numPr>
        <w:pStyle w:val="Compact"/>
      </w:pPr>
      <w:r>
        <w:t xml:space="preserve">What triggers re-consent (annual update, policy change, new clinic site)?</w:t>
      </w:r>
    </w:p>
    <w:p>
      <w:pPr>
        <w:numPr>
          <w:ilvl w:val="0"/>
          <w:numId w:val="1010"/>
        </w:numPr>
        <w:pStyle w:val="Compact"/>
      </w:pPr>
      <w:r>
        <w:t xml:space="preserve">Does intake need to capture electronic signature artifacts (image, attestation timestamp)?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289"/>
        <w:gridCol w:w="60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One consent per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Consent</w:t>
            </w:r>
            <w:r>
              <w:t xml:space="preserve"> </w:t>
            </w:r>
            <w:r>
              <w:t xml:space="preserve">resource per type captured (HIPAA, treatment, financial, etc.); don’t bundle multiple agreements into one Consent.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Conditional consents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enableWhen</w:t>
            </w:r>
            <w:r>
              <w:t xml:space="preserve"> </w:t>
            </w:r>
            <w:r>
              <w:t xml:space="preserve">on the Questionnaire; SDC or Bot creates Consent only when the patient agreed.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Re-consent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Existing Consent moves to</w:t>
            </w:r>
            <w:r>
              <w:t xml:space="preserve"> </w:t>
            </w:r>
            <w:r>
              <w:rPr>
                <w:rStyle w:val="VerbatimChar"/>
              </w:rPr>
              <w:t xml:space="preserve">status: inactive</w:t>
            </w:r>
            <w:r>
              <w:t xml:space="preserve">; new Consent created with current effective period.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Signature artifact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as</w:t>
            </w:r>
            <w:r>
              <w:t xml:space="preserve"> </w:t>
            </w:r>
            <w:r>
              <w:rPr>
                <w:rStyle w:val="VerbatimChar"/>
              </w:rPr>
              <w:t xml:space="preserve">Binary</w:t>
            </w:r>
            <w:r>
              <w:t xml:space="preserve"> </w:t>
            </w:r>
            <w:r>
              <w:t xml:space="preserve">referenced from</w:t>
            </w:r>
            <w:r>
              <w:t xml:space="preserve"> </w:t>
            </w:r>
            <w:r>
              <w:rPr>
                <w:rStyle w:val="VerbatimChar"/>
              </w:rPr>
              <w:t xml:space="preserve">Consent.sourceAttachment</w:t>
            </w:r>
            <w:r>
              <w:t xml:space="preserve">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5"/>
    <w:bookmarkEnd w:id="36"/>
    <w:bookmarkStart w:id="42" w:name="after-submission"/>
    <w:p>
      <w:pPr>
        <w:pStyle w:val="Heading3"/>
      </w:pPr>
      <w:r>
        <w:t xml:space="preserve">After Submission</w:t>
      </w:r>
    </w:p>
    <w:bookmarkStart w:id="39" w:name="post-intake-automation-triggers-actions"/>
    <w:p>
      <w:pPr>
        <w:pStyle w:val="Heading4"/>
      </w:pPr>
      <w:r>
        <w:t xml:space="preserve">3.7 Post-Intake Automation – Triggers &amp; Actions</w:t>
      </w:r>
    </w:p>
    <w:p>
      <w:pPr>
        <w:pStyle w:val="FirstParagraph"/>
      </w:pPr>
      <w:r>
        <w:t xml:space="preserve">Decide what happens after intake is submitted: which automations fire, when eligibility runs, and which downstream actions are part of intake vs separate workflows.</w:t>
      </w:r>
    </w:p>
    <w:p>
      <w:pPr>
        <w:pStyle w:val="BodyText"/>
      </w:pPr>
      <w:r>
        <w:rPr>
          <w:iCs/>
          <w:i/>
        </w:rPr>
        <w:t xml:space="preserve">Note: This section is decision-focused. For the full pattern catalog, see</w:t>
      </w:r>
      <w:r>
        <w:rPr>
          <w:iCs/>
          <w:i/>
        </w:rPr>
        <w:t xml:space="preserve"> </w:t>
      </w:r>
      <w:hyperlink r:id="rId37">
        <w:r>
          <w:rPr>
            <w:rStyle w:val="Hyperlink"/>
            <w:iCs/>
            <w:i/>
          </w:rPr>
          <w:t xml:space="preserve">Post Intake Automation</w:t>
        </w:r>
      </w:hyperlink>
      <w:r>
        <w:rPr>
          <w:iCs/>
          <w:i/>
        </w:rPr>
        <w:t xml:space="preserve">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1"/>
        </w:numPr>
        <w:pStyle w:val="Compact"/>
      </w:pPr>
      <w:r>
        <w:t xml:space="preserve">Does one workflow do everything (extract + notify + verify eligibility + create exception tasks), or do you split concerns into multiple workflows wired to different triggers?</w:t>
      </w:r>
    </w:p>
    <w:p>
      <w:pPr>
        <w:numPr>
          <w:ilvl w:val="0"/>
          <w:numId w:val="1011"/>
        </w:numPr>
        <w:pStyle w:val="Compact"/>
      </w:pPr>
      <w:r>
        <w:t xml:space="preserve">Should intake processing re-run when the response is updated, or only on first submit?</w:t>
      </w:r>
    </w:p>
    <w:p>
      <w:pPr>
        <w:numPr>
          <w:ilvl w:val="0"/>
          <w:numId w:val="1011"/>
        </w:numPr>
        <w:pStyle w:val="Compact"/>
      </w:pPr>
      <w:r>
        <w:t xml:space="preserve">When does eligibility verification run – during form completion, on submit, or async after intake is committed?</w:t>
      </w:r>
    </w:p>
    <w:p>
      <w:pPr>
        <w:numPr>
          <w:ilvl w:val="0"/>
          <w:numId w:val="1011"/>
        </w:numPr>
        <w:pStyle w:val="Compact"/>
      </w:pPr>
      <w:r>
        <w:t xml:space="preserve">Which post-intake actions are required to mark intake</w:t>
      </w:r>
      <w:r>
        <w:t xml:space="preserve"> </w:t>
      </w:r>
      <w:r>
        <w:t xml:space="preserve">“</w:t>
      </w:r>
      <w:r>
        <w:t xml:space="preserve">done</w:t>
      </w:r>
      <w:r>
        <w:t xml:space="preserve">”</w:t>
      </w:r>
      <w:r>
        <w:t xml:space="preserve"> </w:t>
      </w:r>
      <w:r>
        <w:t xml:space="preserve">vs nice-to-have side effects?</w:t>
      </w:r>
    </w:p>
    <w:p>
      <w:pPr>
        <w:numPr>
          <w:ilvl w:val="0"/>
          <w:numId w:val="1011"/>
        </w:numPr>
        <w:pStyle w:val="Compact"/>
      </w:pPr>
      <w:r>
        <w:t xml:space="preserve">When eligibility, address validation, or another external call fails, does that block intake or surface an exception task?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282"/>
        <w:gridCol w:w="5078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Monolithic intake Bot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Bot on</w:t>
            </w:r>
            <w:r>
              <w:t xml:space="preserve"> </w:t>
            </w:r>
            <w:r>
              <w:rPr>
                <w:rStyle w:val="VerbatimChar"/>
              </w:rPr>
              <w:t xml:space="preserve">QuestionnaireResponse</w:t>
            </w:r>
            <w:r>
              <w:t xml:space="preserve"> </w:t>
            </w:r>
            <w:r>
              <w:t xml:space="preserve">create handles extraction and all downstream actions. Simplest to operate; trade-off is larger blast radius on failure.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Split by concern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Separate Subscriptions: one on</w:t>
            </w:r>
            <w:r>
              <w:t xml:space="preserve"> </w:t>
            </w:r>
            <w:r>
              <w:rPr>
                <w:rStyle w:val="VerbatimChar"/>
              </w:rPr>
              <w:t xml:space="preserve">QuestionnaireResponse</w:t>
            </w:r>
            <w:r>
              <w:t xml:space="preserve"> </w:t>
            </w:r>
            <w:r>
              <w:t xml:space="preserve">for extraction, one on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for eligibility, one on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 </w:t>
            </w:r>
            <w:r>
              <w:t xml:space="preserve">for welcome notifications. Each Bot has a single responsibility and audit trail.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Prevent re-run on 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the create-only Subscription extension so Bot updates to the QuestionnaireResponse (e.g. setting</w:t>
            </w:r>
            <w:r>
              <w:t xml:space="preserve"> </w:t>
            </w:r>
            <w:r>
              <w:rPr>
                <w:rStyle w:val="VerbatimChar"/>
              </w:rPr>
              <w:t xml:space="preserve">subject</w:t>
            </w:r>
            <w:r>
              <w:t xml:space="preserve">) don’t re-trigger extraction. See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Avoid Infinite Loops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Exception 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required data is missing or an external call fails, create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for staff (</w:t>
            </w:r>
            <w:r>
              <w:rPr>
                <w:rStyle w:val="VerbatimChar"/>
              </w:rPr>
              <w:t xml:space="preserve">status: requested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owner</w:t>
            </w:r>
            <w:r>
              <w:t xml:space="preserve"> </w:t>
            </w:r>
            <w:r>
              <w:t xml:space="preserve">= registration pool); do not silently drop the response.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Eligibility — sync gate (during form or on submit)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CoverageEligibilityRequest</w:t>
            </w:r>
            <w:r>
              <w:t xml:space="preserve"> </w:t>
            </w:r>
            <w:r>
              <w:t xml:space="preserve">results gate</w:t>
            </w:r>
            <w:r>
              <w:t xml:space="preserve"> </w:t>
            </w:r>
            <w:r>
              <w:t xml:space="preserve">“</w:t>
            </w:r>
            <w:r>
              <w:t xml:space="preserve">intake complete</w:t>
            </w:r>
            <w:r>
              <w:t xml:space="preserve">”</w:t>
            </w:r>
            <w:r>
              <w:t xml:space="preserve"> </w:t>
            </w:r>
            <w:r>
              <w:t xml:space="preserve">(3.9). Highest UX cost, lowest downstream rework. Use when day-one billing readiness matters.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Eligibility — async post-intake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Subscription pattern, but failures surface as exception Tasks rather than blocking intake. Use when intake throughput trumps day-one billing readiness.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Care-team / program routing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 creates Tasks or CareTeam memberships based on intake answers (e.g. screening result triggers a behavioral health referral).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9"/>
    <w:bookmarkStart w:id="40" w:name="Xdcfa6d3ba20a461d922c1089e45845a2e13e217"/>
    <w:p>
      <w:pPr>
        <w:pStyle w:val="Heading4"/>
      </w:pPr>
      <w:r>
        <w:t xml:space="preserve">3.8 PlanDefinition Orchestration &amp; Encounter Linkage</w:t>
      </w:r>
    </w:p>
    <w:p>
      <w:pPr>
        <w:pStyle w:val="FirstParagraph"/>
      </w:pPr>
      <w:r>
        <w:t xml:space="preserve">Decide whether intake is a single form or a multi-step workflow with several tasks owned by different roles – and whether those tasks must show up in the provider’s visit chart.</w:t>
      </w:r>
    </w:p>
    <w:p>
      <w:pPr>
        <w:pStyle w:val="BodyText"/>
      </w:pPr>
      <w:r>
        <w:rPr>
          <w:iCs/>
          <w:i/>
        </w:rPr>
        <w:t xml:space="preserve">Note: The template-driven orchestration pattern is documented in detail under</w:t>
      </w:r>
      <w:r>
        <w:rPr>
          <w:iCs/>
          <w:i/>
        </w:rPr>
        <w:t xml:space="preserve"> </w:t>
      </w:r>
      <w:hyperlink r:id="rId37">
        <w:r>
          <w:rPr>
            <w:rStyle w:val="Hyperlink"/>
            <w:iCs/>
            <w:i/>
          </w:rPr>
          <w:t xml:space="preserve">Post Intake Automation → PlanDefinition Orchestration</w:t>
        </w:r>
      </w:hyperlink>
      <w:r>
        <w:rPr>
          <w:iCs/>
          <w:i/>
        </w:rPr>
        <w:t xml:space="preserve">. This section stays at the level needed to decide whether to adopt that pattern.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2"/>
        </w:numPr>
        <w:pStyle w:val="Compact"/>
      </w:pPr>
      <w:r>
        <w:t xml:space="preserve">Is intake completed by one person in one session, or split across roles (patient fills demographics, MA captures vitals, provider reviews)?</w:t>
      </w:r>
    </w:p>
    <w:p>
      <w:pPr>
        <w:numPr>
          <w:ilvl w:val="0"/>
          <w:numId w:val="1012"/>
        </w:numPr>
        <w:pStyle w:val="Compact"/>
      </w:pPr>
      <w:r>
        <w:t xml:space="preserve">Does intake need to appear as tasks in the provider’s visit chart?</w:t>
      </w:r>
    </w:p>
    <w:p>
      <w:pPr>
        <w:numPr>
          <w:ilvl w:val="0"/>
          <w:numId w:val="1012"/>
        </w:numPr>
        <w:pStyle w:val="Compact"/>
      </w:pPr>
      <w:r>
        <w:t xml:space="preserve">Are some intake steps non-form work (e.g. lab orders, imaging) that should be modeled as orders rather than questionnaires?</w:t>
      </w:r>
    </w:p>
    <w:p>
      <w:pPr>
        <w:numPr>
          <w:ilvl w:val="0"/>
          <w:numId w:val="1012"/>
        </w:numPr>
        <w:pStyle w:val="Compact"/>
      </w:pPr>
      <w:r>
        <w:t xml:space="preserve">Will the same intake template be reused across visit types or programs?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068"/>
        <w:gridCol w:w="5292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Single-form intake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Skip PlanDefinition; one Questionnaire + one Bot is enough.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Multi-step / multi-author intake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PlanDefinition</w:t>
            </w:r>
            <w:r>
              <w:t xml:space="preserve"> </w:t>
            </w:r>
            <w:r>
              <w:t xml:space="preserve">with one action per Questionnaire or ServiceRequest, applied via</w:t>
            </w:r>
            <w:r>
              <w:t xml:space="preserve"> </w:t>
            </w:r>
            <w:r>
              <w:rPr>
                <w:rStyle w:val="VerbatimChar"/>
              </w:rPr>
              <w:t xml:space="preserve">$apply</w:t>
            </w:r>
            <w:r>
              <w:t xml:space="preserve">; the operation creates a</w:t>
            </w:r>
            <w:r>
              <w:t xml:space="preserve"> </w:t>
            </w:r>
            <w:r>
              <w:rPr>
                <w:rStyle w:val="VerbatimChar"/>
              </w:rPr>
              <w:t xml:space="preserve">CarePlan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RequestGroup</w:t>
            </w:r>
            <w:r>
              <w:t xml:space="preserve">, and one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per action.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Encounter-chart visibility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Pass</w:t>
            </w:r>
            <w:r>
              <w:t xml:space="preserve"> </w:t>
            </w:r>
            <w:r>
              <w:rPr>
                <w:rStyle w:val="VerbatimChar"/>
              </w:rPr>
              <w:t xml:space="preserve">encounter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$apply</w:t>
            </w:r>
            <w:r>
              <w:t xml:space="preserve">; each generated Task must set</w:t>
            </w:r>
            <w:r>
              <w:t xml:space="preserve"> </w:t>
            </w:r>
            <w:r>
              <w:rPr>
                <w:bCs/>
                <w:b/>
              </w:rPr>
              <w:t xml:space="preserve">both</w:t>
            </w:r>
            <w:r>
              <w:t xml:space="preserve"> </w:t>
            </w:r>
            <w:r>
              <w:rPr>
                <w:rStyle w:val="VerbatimChar"/>
              </w:rPr>
              <w:t xml:space="preserve">Task.focus</w:t>
            </w:r>
            <w:r>
              <w:t xml:space="preserve"> </w:t>
            </w:r>
            <w:r>
              <w:t xml:space="preserve">(Questionnaire/X or ServiceRequest/X – the provider UI uses this for rendering)</w:t>
            </w:r>
            <w:r>
              <w:t xml:space="preserve"> </w:t>
            </w:r>
            <w:r>
              <w:rPr>
                <w:bCs/>
                <w:b/>
              </w:rP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Task.input[0].valueReference</w:t>
            </w:r>
            <w:r>
              <w:t xml:space="preserve"> </w:t>
            </w:r>
            <w:r>
              <w:t xml:space="preserve">(used to load the form). Missing either breaks the chart view.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Reusable intake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PlanDefinition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url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name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title</w:t>
            </w:r>
            <w:r>
              <w:t xml:space="preserve"> </w:t>
            </w:r>
            <w:r>
              <w:t xml:space="preserve">set (the provider UI’s resource search uses</w:t>
            </w:r>
            <w:r>
              <w:t xml:space="preserve"> </w:t>
            </w:r>
            <w:r>
              <w:rPr>
                <w:rStyle w:val="VerbatimChar"/>
              </w:rPr>
              <w:t xml:space="preserve">name</w:t>
            </w:r>
            <w:r>
              <w:t xml:space="preserve">, not</w:t>
            </w:r>
            <w:r>
              <w:t xml:space="preserve"> </w:t>
            </w:r>
            <w:r>
              <w:rPr>
                <w:rStyle w:val="VerbatimChar"/>
              </w:rPr>
              <w:t xml:space="preserve">title</w:t>
            </w:r>
            <w:r>
              <w:t xml:space="preserve">); referenced Questionnaires and ActivityDefinitions must also have</w:t>
            </w:r>
            <w:r>
              <w:t xml:space="preserve"> </w:t>
            </w:r>
            <w:r>
              <w:rPr>
                <w:rStyle w:val="VerbatimChar"/>
              </w:rPr>
              <w:t xml:space="preserve">url</w:t>
            </w:r>
            <w:r>
              <w:t xml:space="preserve"> </w:t>
            </w:r>
            <w:r>
              <w:t xml:space="preserve">so</w:t>
            </w:r>
            <w:r>
              <w:t xml:space="preserve"> </w:t>
            </w:r>
            <w:r>
              <w:rPr>
                <w:rStyle w:val="VerbatimChar"/>
              </w:rPr>
              <w:t xml:space="preserve">$apply</w:t>
            </w:r>
            <w:r>
              <w:t xml:space="preserve"> </w:t>
            </w:r>
            <w:r>
              <w:t xml:space="preserve">can resolve canonicals.</w:t>
            </w:r>
          </w:p>
        </w:tc>
      </w:tr>
    </w:tbl>
    <w:p>
      <w:pPr>
        <w:pStyle w:val="BodyText"/>
      </w:pPr>
      <w:r>
        <w:rPr>
          <w:iCs/>
          <w:i/>
        </w:rPr>
        <w:t xml:space="preserve">Scheduling integration (appointments generated from intake answers, or intake gated on a scheduled visit) is covered in depth in the Medplum Scheduling discovery guide. From the intake side, link the resulting appointment or visit back to the intake artifacts that originated it.</w:t>
      </w:r>
    </w:p>
    <w:p>
      <w:r>
        <w:pict>
          <v:rect style="width:0;height:1.5pt" o:hralign="center" o:hrstd="t" o:hr="t"/>
        </w:pict>
      </w:r>
    </w:p>
    <w:bookmarkEnd w:id="40"/>
    <w:bookmarkStart w:id="41" w:name="lifecycle-intake-complete"/>
    <w:p>
      <w:pPr>
        <w:pStyle w:val="Heading4"/>
      </w:pPr>
      <w:r>
        <w:t xml:space="preserve">3.9 Lifecycle &amp;</w:t>
      </w:r>
      <w:r>
        <w:t xml:space="preserve"> </w:t>
      </w:r>
      <w:r>
        <w:t xml:space="preserve">“</w:t>
      </w:r>
      <w:r>
        <w:t xml:space="preserve">Intake Complete</w:t>
      </w:r>
      <w:r>
        <w:t xml:space="preserve">”</w:t>
      </w:r>
    </w:p>
    <w:p>
      <w:pPr>
        <w:pStyle w:val="FirstParagraph"/>
      </w:pPr>
      <w:r>
        <w:t xml:space="preserve">Decide what</w:t>
      </w:r>
      <w:r>
        <w:t xml:space="preserve"> </w:t>
      </w:r>
      <w:r>
        <w:t xml:space="preserve">“</w:t>
      </w:r>
      <w:r>
        <w:t xml:space="preserve">intake is done</w:t>
      </w:r>
      <w:r>
        <w:t xml:space="preserve">”</w:t>
      </w:r>
      <w:r>
        <w:t xml:space="preserve"> </w:t>
      </w:r>
      <w:r>
        <w:t xml:space="preserve">means for your operations, how that signal is represented, and what happens to incomplete intake.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3"/>
        </w:numPr>
        <w:pStyle w:val="Compact"/>
      </w:pPr>
      <w:r>
        <w:t xml:space="preserve">Is</w:t>
      </w:r>
      <w:r>
        <w:t xml:space="preserve"> </w:t>
      </w:r>
      <w:r>
        <w:t xml:space="preserve">“</w:t>
      </w:r>
      <w:r>
        <w:t xml:space="preserve">intake complete</w:t>
      </w:r>
      <w:r>
        <w:t xml:space="preserve">”</w:t>
      </w:r>
      <w:r>
        <w:t xml:space="preserve"> </w:t>
      </w:r>
      <w:r>
        <w:t xml:space="preserve">a single moment (form submitted) or a composite state (extraction succeeded + eligibility verified + required consents on file)?</w:t>
      </w:r>
    </w:p>
    <w:p>
      <w:pPr>
        <w:numPr>
          <w:ilvl w:val="0"/>
          <w:numId w:val="1013"/>
        </w:numPr>
        <w:pStyle w:val="Compact"/>
      </w:pPr>
      <w:r>
        <w:t xml:space="preserve">Which downstream workflows are gated on intake completion (scheduling, clinical, billing)?</w:t>
      </w:r>
    </w:p>
    <w:p>
      <w:pPr>
        <w:numPr>
          <w:ilvl w:val="0"/>
          <w:numId w:val="1013"/>
        </w:numPr>
        <w:pStyle w:val="Compact"/>
      </w:pPr>
      <w:r>
        <w:t xml:space="preserve">For incomplete intake (patient bailed mid-form, required field missing), how is that surfaced and worked?</w:t>
      </w:r>
    </w:p>
    <w:p>
      <w:pPr>
        <w:numPr>
          <w:ilvl w:val="0"/>
          <w:numId w:val="1013"/>
        </w:numPr>
        <w:pStyle w:val="Compact"/>
      </w:pPr>
      <w:r>
        <w:t xml:space="preserve">Are partial / draft intakes a supported state, or only completed submissions?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289"/>
        <w:gridCol w:w="60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Simple completion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QuestionnaireResponse.status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completed</w:t>
            </w:r>
            <w:r>
              <w:t xml:space="preserve"> </w:t>
            </w:r>
            <w:r>
              <w:t xml:space="preserve">is the signal; nothing further to track.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Composite completion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per Encounter with</w:t>
            </w:r>
            <w:r>
              <w:t xml:space="preserve"> </w:t>
            </w:r>
            <w:r>
              <w:rPr>
                <w:rStyle w:val="VerbatimChar"/>
              </w:rPr>
              <w:t xml:space="preserve">businessStatus</w:t>
            </w:r>
            <w:r>
              <w:t xml:space="preserve"> </w:t>
            </w:r>
            <w:r>
              <w:t xml:space="preserve">advancing through extraction, eligibility, consent, and ready-for-clinical; or use</w:t>
            </w:r>
            <w:r>
              <w:t xml:space="preserve"> </w:t>
            </w:r>
            <w:r>
              <w:rPr>
                <w:rStyle w:val="VerbatimChar"/>
              </w:rPr>
              <w:t xml:space="preserve">CarePlan.status</w:t>
            </w:r>
            <w:r>
              <w:t xml:space="preserve"> </w:t>
            </w:r>
            <w:r>
              <w:t xml:space="preserve">when intake is orchestrated via PlanDefinition (3.8).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Incomplete intake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QuestionnaireResponse.status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in-progress</w:t>
            </w:r>
            <w:r>
              <w:t xml:space="preserve">; surface via a Task assigned to registration so it doesn’t disappear.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Downstream gating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Scheduling, clinical chart, and billing surfaces filter on the chosen completion signal; keep the definition single-sourced.</w:t>
            </w:r>
          </w:p>
        </w:tc>
      </w:tr>
    </w:tbl>
    <w:bookmarkEnd w:id="41"/>
    <w:bookmarkEnd w:id="42"/>
    <w:bookmarkEnd w:id="43"/>
    <w:bookmarkEnd w:id="44"/>
    <w:p/>
    <w:sectPr>
      <w:pgSz w:h="15840" w:w="12240"/>
      <w:pgMar w:bottom="1440" w:footer="720" w:gutter="0" w:header="720" w:left="1440" w:right="1440" w:top="144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oppins" w:cs="Poppins" w:eastAsia="Poppins" w:hAnsi="Poppins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Poppins" w:cs="Poppins" w:eastAsia="Poppins" w:hAnsi="Poppins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Poppins" w:cs="Poppins" w:eastAsia="Poppins" w:hAnsi="Poppins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Poppins" w:cs="Poppins" w:eastAsia="Poppins" w:hAnsi="Poppins"/>
      <w:color w:val="9C36B5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Poppins" w:cs="Poppins" w:eastAsia="Poppins" w:hAnsi="Poppins"/>
      <w:color w:val="9C36B5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9C36B5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9C36B5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9C36B5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Poppins" w:cs="Poppins" w:eastAsia="Poppins" w:hAnsi="Poppins"/>
      <w:color w:val="9C36B5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Poppins" w:cs="Poppins" w:eastAsia="Poppins" w:hAnsi="Poppins"/>
      <w:color w:val="9C36B5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9C36B5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9C36B5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9C36B5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D9C9E8" w:space="0" w:sz="4" w:val="single"/>
        <w:left w:color="D9C9E8" w:space="0" w:sz="4" w:val="single"/>
        <w:bottom w:color="D9C9E8" w:space="0" w:sz="4" w:val="single"/>
        <w:right w:color="D9C9E8" w:space="0" w:sz="4" w:val="single"/>
        <w:insideH w:color="D9C9E8" w:space="0" w:sz="4" w:val="single"/>
        <w:insideV w:color="D9C9E8" w:space="0" w:sz="4" w:val="single"/>
      </w:tblBorders>
      <w:tblCellMar>
        <w:top w:type="dxa" w:w="60"/>
        <w:left w:type="dxa" w:w="108"/>
        <w:bottom w:type="dxa" w:w="60"/>
        <w:right w:type="dxa" w:w="108"/>
      </w:tblCellMar>
    </w:tblPr>
    <w:tblStylePr w:type="firstRow">
      <w:rPr>
        <w:b/>
        <w:color w:val="402C6E"/>
      </w:rPr>
      <w:tcPr>
        <w:shd w:color="auto" w:fill="EFE3F8" w:val="clear"/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9C36B5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Poppins" w:cs="Poppins" w:eastAsia="Poppins" w:hAnsi="Poppins"/>
      <w:b w:val="0"/>
      <w:bCs w:val="0"/>
      <w:color w:val="9C36B5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33" Target="/docs/billing/patient-insurance" TargetMode="External" /><Relationship Type="http://schemas.openxmlformats.org/officeDocument/2006/relationships/hyperlink" Id="rId26" Target="/docs/fhir-datastore/patient-deduplication" TargetMode="External" /><Relationship Type="http://schemas.openxmlformats.org/officeDocument/2006/relationships/hyperlink" Id="rId23" Target="/docs/intake" TargetMode="External" /><Relationship Type="http://schemas.openxmlformats.org/officeDocument/2006/relationships/hyperlink" Id="rId30" Target="/docs/intake/intake-data-model" TargetMode="External" /><Relationship Type="http://schemas.openxmlformats.org/officeDocument/2006/relationships/hyperlink" Id="rId37" Target="/docs/intake/post-intake-automation" TargetMode="External" /><Relationship Type="http://schemas.openxmlformats.org/officeDocument/2006/relationships/hyperlink" Id="rId38" Target="/docs/intake/post-intake-automation#triggering-intake-processin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/docs/billing/patient-insurance" TargetMode="External" /><Relationship Type="http://schemas.openxmlformats.org/officeDocument/2006/relationships/hyperlink" Id="rId26" Target="/docs/fhir-datastore/patient-deduplication" TargetMode="External" /><Relationship Type="http://schemas.openxmlformats.org/officeDocument/2006/relationships/hyperlink" Id="rId23" Target="/docs/intake" TargetMode="External" /><Relationship Type="http://schemas.openxmlformats.org/officeDocument/2006/relationships/hyperlink" Id="rId30" Target="/docs/intake/intake-data-model" TargetMode="External" /><Relationship Type="http://schemas.openxmlformats.org/officeDocument/2006/relationships/hyperlink" Id="rId37" Target="/docs/intake/post-intake-automation" TargetMode="External" /><Relationship Type="http://schemas.openxmlformats.org/officeDocument/2006/relationships/hyperlink" Id="rId38" Target="/docs/intake/post-intake-automation#triggering-intake-process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