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5943600" cy="1289649"/>
            <wp:effectExtent b="0" l="0" r="0" t="0"/>
            <wp:docPr descr="Medplum" title="" id="21" name="Picture"/>
            <a:graphic>
              <a:graphicData uri="http://schemas.openxmlformats.org/drawingml/2006/picture">
                <pic:pic>
                  <pic:nvPicPr>
                    <pic:cNvPr descr="medplum-wordmark-grape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96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9" w:name="charting-decision-guide"/>
    <w:p>
      <w:pPr>
        <w:pStyle w:val="Heading1"/>
      </w:pPr>
      <w:r>
        <w:t xml:space="preserve">Charting Decision Guide</w:t>
      </w:r>
    </w:p>
    <w:p>
      <w:pPr>
        <w:pStyle w:val="FirstParagraph"/>
      </w:pPr>
      <w:r>
        <w:rPr>
          <w:iCs/>
          <w:i/>
        </w:rPr>
        <w:t xml:space="preserve">Companion to the</w:t>
      </w:r>
      <w:r>
        <w:rPr>
          <w:iCs/>
          <w:i/>
        </w:rPr>
        <w:t xml:space="preserve"> </w:t>
      </w:r>
      <w:hyperlink r:id="rId23">
        <w:r>
          <w:rPr>
            <w:rStyle w:val="Hyperlink"/>
            <w:iCs/>
            <w:i/>
          </w:rPr>
          <w:t xml:space="preserve">Charting</w:t>
        </w:r>
      </w:hyperlink>
      <w:r>
        <w:rPr>
          <w:iCs/>
          <w:i/>
        </w:rPr>
        <w:t xml:space="preserve"> </w:t>
      </w:r>
      <w:r>
        <w:rPr>
          <w:iCs/>
          <w:i/>
        </w:rPr>
        <w:t xml:space="preserve">docs (SOAP notes, diagnoses, vitals, allergies), plus</w:t>
      </w:r>
      <w:r>
        <w:rPr>
          <w:iCs/>
          <w:i/>
        </w:rPr>
        <w:t xml:space="preserve"> </w:t>
      </w:r>
      <w:hyperlink r:id="rId24">
        <w:r>
          <w:rPr>
            <w:rStyle w:val="Hyperlink"/>
            <w:iCs/>
            <w:i/>
          </w:rPr>
          <w:t xml:space="preserve">Provider Visits</w:t>
        </w:r>
      </w:hyperlink>
      <w:r>
        <w:rPr>
          <w:iCs/>
          <w:i/>
        </w:rPr>
        <w:t xml:space="preserve">,</w:t>
      </w:r>
      <w:r>
        <w:rPr>
          <w:iCs/>
          <w:i/>
        </w:rPr>
        <w:t xml:space="preserve"> </w:t>
      </w:r>
      <w:hyperlink r:id="rId25">
        <w:r>
          <w:rPr>
            <w:rStyle w:val="Hyperlink"/>
            <w:iCs/>
            <w:i/>
          </w:rPr>
          <w:t xml:space="preserve">Structured Data Capture</w:t>
        </w:r>
      </w:hyperlink>
      <w:r>
        <w:rPr>
          <w:iCs/>
          <w:i/>
        </w:rPr>
        <w:t xml:space="preserve">,</w:t>
      </w:r>
      <w:r>
        <w:rPr>
          <w:iCs/>
          <w:i/>
        </w:rPr>
        <w:t xml:space="preserve"> </w:t>
      </w:r>
      <w:hyperlink r:id="rId26">
        <w:r>
          <w:rPr>
            <w:rStyle w:val="VerbatimChar"/>
            <w:iCs/>
            <w:i/>
          </w:rPr>
          <w:t xml:space="preserve">PlanDefinition $apply</w:t>
        </w:r>
      </w:hyperlink>
      <w:r>
        <w:rPr>
          <w:iCs/>
          <w:i/>
        </w:rPr>
        <w:t xml:space="preserve">, and</w:t>
      </w:r>
      <w:r>
        <w:rPr>
          <w:iCs/>
          <w:i/>
        </w:rPr>
        <w:t xml:space="preserve"> </w:t>
      </w:r>
      <w:hyperlink r:id="rId27">
        <w:r>
          <w:rPr>
            <w:rStyle w:val="VerbatimChar"/>
            <w:iCs/>
            <w:i/>
          </w:rPr>
          <w:t xml:space="preserve">QuestionnaireResponse $extract</w:t>
        </w:r>
      </w:hyperlink>
      <w:r>
        <w:rPr>
          <w:iCs/>
          <w:i/>
        </w:rPr>
        <w:t xml:space="preserve">.</w:t>
      </w:r>
    </w:p>
    <w:p>
      <w:r>
        <w:pict>
          <v:rect style="width:0;height:1.5pt" o:hralign="center" o:hrstd="t" o:hr="t"/>
        </w:pict>
      </w:r>
    </w:p>
    <w:bookmarkStart w:id="31" w:name="section-1-use-case-clinical-context"/>
    <w:p>
      <w:pPr>
        <w:pStyle w:val="Heading2"/>
      </w:pPr>
      <w:r>
        <w:t xml:space="preserve">Section 1: Use Case &amp; Clinical Context</w:t>
      </w:r>
    </w:p>
    <w:bookmarkStart w:id="28" w:name="what-care-setting-and-specialty"/>
    <w:p>
      <w:pPr>
        <w:pStyle w:val="Heading3"/>
      </w:pPr>
      <w:r>
        <w:t xml:space="preserve">1.1 What care setting and specialty?</w:t>
      </w:r>
    </w:p>
    <w:p>
      <w:pPr>
        <w:numPr>
          <w:ilvl w:val="0"/>
          <w:numId w:val="1001"/>
        </w:numPr>
        <w:pStyle w:val="Compact"/>
      </w:pPr>
      <w:r>
        <w:t xml:space="preserve">Primary care</w:t>
      </w:r>
    </w:p>
    <w:p>
      <w:pPr>
        <w:numPr>
          <w:ilvl w:val="0"/>
          <w:numId w:val="1001"/>
        </w:numPr>
        <w:pStyle w:val="Compact"/>
      </w:pPr>
      <w:r>
        <w:t xml:space="preserve">Urgent care</w:t>
      </w:r>
    </w:p>
    <w:p>
      <w:pPr>
        <w:numPr>
          <w:ilvl w:val="0"/>
          <w:numId w:val="1001"/>
        </w:numPr>
        <w:pStyle w:val="Compact"/>
      </w:pPr>
      <w:r>
        <w:t xml:space="preserve">Specialty (cardiology, dermatology, orthopedics, etc.)</w:t>
      </w:r>
    </w:p>
    <w:p>
      <w:pPr>
        <w:numPr>
          <w:ilvl w:val="0"/>
          <w:numId w:val="1001"/>
        </w:numPr>
        <w:pStyle w:val="Compact"/>
      </w:pPr>
      <w:r>
        <w:t xml:space="preserve">Behavioral health</w:t>
      </w:r>
    </w:p>
    <w:p>
      <w:pPr>
        <w:numPr>
          <w:ilvl w:val="0"/>
          <w:numId w:val="1001"/>
        </w:numPr>
        <w:pStyle w:val="Compact"/>
      </w:pPr>
      <w:r>
        <w:t xml:space="preserve">Multi-specialty / mixed</w:t>
      </w:r>
    </w:p>
    <w:p>
      <w:pPr>
        <w:pStyle w:val="FirstParagraph"/>
      </w:pPr>
      <w:r>
        <w:rPr>
          <w:iCs/>
          <w:i/>
        </w:rPr>
        <w:t xml:space="preserve">Why it matters: care settings have different visit templates and charting needs. Behavioral health leans on standardized screening instruments; primary care emphasizes vitals and preventive care; specialty care often runs on protocol-driven order sets. Shapes every Visit Template in §2.1.</w:t>
      </w:r>
    </w:p>
    <w:bookmarkEnd w:id="28"/>
    <w:bookmarkStart w:id="29" w:name="what-types-of-encounters-will-be-charted"/>
    <w:p>
      <w:pPr>
        <w:pStyle w:val="Heading3"/>
      </w:pPr>
      <w:r>
        <w:t xml:space="preserve">1.2 What types of encounters will be charted?</w:t>
      </w:r>
    </w:p>
    <w:p>
      <w:pPr>
        <w:numPr>
          <w:ilvl w:val="0"/>
          <w:numId w:val="1002"/>
        </w:numPr>
        <w:pStyle w:val="Compact"/>
      </w:pPr>
      <w:r>
        <w:t xml:space="preserve">In-person visits</w:t>
      </w:r>
    </w:p>
    <w:p>
      <w:pPr>
        <w:numPr>
          <w:ilvl w:val="0"/>
          <w:numId w:val="1002"/>
        </w:numPr>
        <w:pStyle w:val="Compact"/>
      </w:pPr>
      <w:r>
        <w:t xml:space="preserve">Telehealth visits</w:t>
      </w:r>
    </w:p>
    <w:p>
      <w:pPr>
        <w:numPr>
          <w:ilvl w:val="0"/>
          <w:numId w:val="1002"/>
        </w:numPr>
        <w:pStyle w:val="Compact"/>
      </w:pPr>
      <w:r>
        <w:t xml:space="preserve">Async / messaging-based encounters</w:t>
      </w:r>
    </w:p>
    <w:p>
      <w:pPr>
        <w:numPr>
          <w:ilvl w:val="0"/>
          <w:numId w:val="1002"/>
        </w:numPr>
        <w:pStyle w:val="Compact"/>
      </w:pPr>
      <w:r>
        <w:t xml:space="preserve">Group visits</w:t>
      </w:r>
    </w:p>
    <w:p>
      <w:pPr>
        <w:numPr>
          <w:ilvl w:val="0"/>
          <w:numId w:val="1002"/>
        </w:numPr>
        <w:pStyle w:val="Compact"/>
      </w:pPr>
      <w:r>
        <w:t xml:space="preserve">Some combination</w:t>
      </w:r>
    </w:p>
    <w:p>
      <w:pPr>
        <w:pStyle w:val="FirstParagraph"/>
      </w:pPr>
      <w:r>
        <w:rPr>
          <w:iCs/>
          <w:i/>
        </w:rPr>
        <w:t xml:space="preserve">Why it matters: encounter types may need distinct Visit Templates. Async encounters chart differently — the Subjective section may come from a messaging thread. Group visits raise the question of one note per patient vs. a shared note.</w:t>
      </w:r>
    </w:p>
    <w:bookmarkEnd w:id="29"/>
    <w:bookmarkStart w:id="30" w:name="X6b0464808ee0b08c579960e184a1baf38454b68"/>
    <w:p>
      <w:pPr>
        <w:pStyle w:val="Heading3"/>
      </w:pPr>
      <w:r>
        <w:t xml:space="preserve">1.3 What are clinicians used to today, and what do they want to keep consistent?</w:t>
      </w:r>
    </w:p>
    <w:p>
      <w:pPr>
        <w:numPr>
          <w:ilvl w:val="0"/>
          <w:numId w:val="1003"/>
        </w:numPr>
        <w:pStyle w:val="Compact"/>
      </w:pPr>
      <w:r>
        <w:t xml:space="preserve">What EHR or charting tool are clinicians coming from?</w:t>
      </w:r>
    </w:p>
    <w:p>
      <w:pPr>
        <w:numPr>
          <w:ilvl w:val="0"/>
          <w:numId w:val="1003"/>
        </w:numPr>
        <w:pStyle w:val="Compact"/>
      </w:pPr>
      <w:r>
        <w:t xml:space="preserve">What note formats or workflows do they want to preserve?</w:t>
      </w:r>
    </w:p>
    <w:p>
      <w:pPr>
        <w:numPr>
          <w:ilvl w:val="0"/>
          <w:numId w:val="1003"/>
        </w:numPr>
        <w:pStyle w:val="Compact"/>
      </w:pPr>
      <w:r>
        <w:t xml:space="preserve">What gaps drove the move?</w:t>
      </w:r>
    </w:p>
    <w:p>
      <w:pPr>
        <w:pStyle w:val="FirstParagraph"/>
      </w:pPr>
      <w:r>
        <w:rPr>
          <w:iCs/>
          <w:i/>
        </w:rPr>
        <w:t xml:space="preserve">Why it matters: charting changes have high adoption risk. Knowing what clinicians expect to stay the same is as important as knowing what to improve.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8" w:name="section-2-key-decisions"/>
    <w:p>
      <w:pPr>
        <w:pStyle w:val="Heading2"/>
      </w:pPr>
      <w:r>
        <w:t xml:space="preserve">Section 2: Key Decisions</w:t>
      </w:r>
    </w:p>
    <w:bookmarkStart w:id="32" w:name="X5867a1e1c3a7e9a9e7812a99386f911286d4d65"/>
    <w:p>
      <w:pPr>
        <w:pStyle w:val="Heading3"/>
      </w:pPr>
      <w:r>
        <w:t xml:space="preserve">2.1 What visit types do you provide, and what does each entail?</w:t>
      </w:r>
    </w:p>
    <w:p>
      <w:pPr>
        <w:pStyle w:val="FirstParagraph"/>
      </w:pPr>
      <w:r>
        <w:t xml:space="preserve">The recommended baseline is one Visit Template (PlanDefinition) per distinct visit type, combining structured forms (Questionnaires) with embedded order actions (ActivityDefinitions).</w:t>
      </w:r>
      <w:r>
        <w:t xml:space="preserve"> </w:t>
      </w:r>
      <w:r>
        <w:rPr>
          <w:rStyle w:val="VerbatimChar"/>
        </w:rPr>
        <w:t xml:space="preserve">$apply</w:t>
      </w:r>
      <w:r>
        <w:t xml:space="preserve"> </w:t>
      </w:r>
      <w:r>
        <w:t xml:space="preserve">generates the CarePlan and Tasks at visit start.</w:t>
      </w:r>
    </w:p>
    <w:p>
      <w:pPr>
        <w:pStyle w:val="BodyText"/>
      </w:pPr>
      <w:r>
        <w:rPr>
          <w:bCs/>
          <w:b/>
        </w:rPr>
        <w:t xml:space="preserve">⚠ Visit types are the bridge to scheduling.</w:t>
      </w:r>
      <w:r>
        <w:t xml:space="preserve"> </w:t>
      </w:r>
      <w:r>
        <w:t xml:space="preserve">A Visit Template links to a HealthcareService by</w:t>
      </w:r>
      <w:r>
        <w:t xml:space="preserve"> </w:t>
      </w:r>
      <w:r>
        <w:rPr>
          <w:rStyle w:val="VerbatimChar"/>
        </w:rPr>
        <w:t xml:space="preserve">serviceType</w:t>
      </w:r>
      <w:r>
        <w:t xml:space="preserve"> </w:t>
      </w:r>
      <w:r>
        <w:t xml:space="preserve">code — the same code that drives scheduling. See the Scheduling Discovery and Decision Guide.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04"/>
        </w:numPr>
        <w:pStyle w:val="Compact"/>
      </w:pPr>
      <w:r>
        <w:t xml:space="preserve">What are the distinct visit types? (annual wellness, acute sick, behavioral health intake, post-op follow-up, specialty consult, etc.)</w:t>
      </w:r>
    </w:p>
    <w:p>
      <w:pPr>
        <w:numPr>
          <w:ilvl w:val="0"/>
          <w:numId w:val="1004"/>
        </w:numPr>
        <w:pStyle w:val="Compact"/>
      </w:pPr>
      <w:r>
        <w:t xml:space="preserve">For each visit type, what does the clinician do during the encounter?</w:t>
      </w:r>
    </w:p>
    <w:p>
      <w:pPr>
        <w:numPr>
          <w:ilvl w:val="1"/>
          <w:numId w:val="1005"/>
        </w:numPr>
        <w:pStyle w:val="Compact"/>
      </w:pPr>
      <w:r>
        <w:t xml:space="preserve">Measurements (vitals — BP, HR, weight, BMI, temp, SpO2)</w:t>
      </w:r>
    </w:p>
    <w:p>
      <w:pPr>
        <w:numPr>
          <w:ilvl w:val="1"/>
          <w:numId w:val="1005"/>
        </w:numPr>
        <w:pStyle w:val="Compact"/>
      </w:pPr>
      <w:r>
        <w:t xml:space="preserve">Screening instruments (PHQ-9, GAD-7, AUDIT, fall risk, pediatric screens)</w:t>
      </w:r>
    </w:p>
    <w:p>
      <w:pPr>
        <w:numPr>
          <w:ilvl w:val="1"/>
          <w:numId w:val="1005"/>
        </w:numPr>
        <w:pStyle w:val="Compact"/>
      </w:pPr>
      <w:r>
        <w:t xml:space="preserve">Orders (labs, imaging, referrals, prescriptions)</w:t>
      </w:r>
    </w:p>
    <w:p>
      <w:pPr>
        <w:numPr>
          <w:ilvl w:val="1"/>
          <w:numId w:val="1005"/>
        </w:numPr>
        <w:pStyle w:val="Compact"/>
      </w:pPr>
      <w:r>
        <w:t xml:space="preserve">Narrative documentation</w:t>
      </w:r>
    </w:p>
    <w:p>
      <w:pPr>
        <w:numPr>
          <w:ilvl w:val="1"/>
          <w:numId w:val="1005"/>
        </w:numPr>
        <w:pStyle w:val="Compact"/>
      </w:pPr>
      <w:r>
        <w:t xml:space="preserve">Review of patient history (problem list, allergies, meds)</w:t>
      </w:r>
    </w:p>
    <w:p>
      <w:pPr>
        <w:pStyle w:val="FirstParagraph"/>
      </w:pPr>
      <w:r>
        <w:rPr>
          <w:bCs/>
          <w:b/>
        </w:rPr>
        <w:t xml:space="preserve">What the answers drive:</w:t>
      </w:r>
    </w:p>
    <w:p>
      <w:pPr>
        <w:pStyle w:val="BodyText"/>
      </w:pPr>
      <w:r>
        <w:t xml:space="preserve">For each visit type, the elements map to PlanDefinition components: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441"/>
        <w:gridCol w:w="4919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Visit 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it’s modeled in the PlanDefinition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Vitals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Questionnaire action; parses responses to Observations (</w:t>
            </w:r>
            <w:r>
              <w:rPr>
                <w:rStyle w:val="VerbatimChar"/>
              </w:rPr>
              <w:t xml:space="preserve">category = vital-signs</w:t>
            </w:r>
            <w:r>
              <w:t xml:space="preserve">, LOINC codes)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Screening instruments (PHQ-9, GAD-7, etc.)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Questionnaires per each standard form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Orders (labs, imaging, referrals, prescriptions)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ActivityDefinition action — generates ServiceRequest or MedicationRequest Tasks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Narrative documentation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ClinicalImpression.note</w:t>
            </w:r>
            <w:r>
              <w:t xml:space="preserve"> </w:t>
            </w:r>
            <w:r>
              <w:t xml:space="preserve">(captures the</w:t>
            </w:r>
            <w:r>
              <w:t xml:space="preserve"> </w:t>
            </w:r>
            <w:r>
              <w:t xml:space="preserve">‘</w:t>
            </w:r>
            <w:r>
              <w:t xml:space="preserve">Assessment</w:t>
            </w:r>
            <w:r>
              <w:t xml:space="preserve">’</w:t>
            </w:r>
            <w:r>
              <w:t xml:space="preserve"> </w:t>
            </w:r>
            <w:r>
              <w:t xml:space="preserve">part of SOAP)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Patient history 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Surfaced via the patient sidebar (see §2.2), not modeled in the PlanDefinition itself</w:t>
            </w:r>
          </w:p>
        </w:tc>
      </w:tr>
    </w:tbl>
    <w:p>
      <w:pPr>
        <w:pStyle w:val="BodyText"/>
      </w:pPr>
      <w:r>
        <w:t xml:space="preserve">If visit types share most of their structure: factor common pieces into shared Questionnaires / ActivityDefinitions referenced by multiple PlanDefinitions, or use conditional actions on a single PlanDefinition.</w:t>
      </w:r>
    </w:p>
    <w:p>
      <w:r>
        <w:pict>
          <v:rect style="width:0;height:1.5pt" o:hralign="center" o:hrstd="t" o:hr="t"/>
        </w:pict>
      </w:r>
    </w:p>
    <w:bookmarkEnd w:id="32"/>
    <w:bookmarkStart w:id="34" w:name="how-structured-should-the-chart-be"/>
    <w:p>
      <w:pPr>
        <w:pStyle w:val="Heading3"/>
      </w:pPr>
      <w:r>
        <w:t xml:space="preserve">2.2 How structured should the chart be?</w:t>
      </w:r>
    </w:p>
    <w:p>
      <w:pPr>
        <w:pStyle w:val="FirstParagraph"/>
      </w:pPr>
      <w:r>
        <w:rPr>
          <w:bCs/>
          <w:b/>
        </w:rPr>
        <w:t xml:space="preserve">Medplum Recommendation:</w:t>
      </w:r>
      <w:r>
        <w:t xml:space="preserve"> </w:t>
      </w:r>
      <w:r>
        <w:t xml:space="preserve">Structured wherever possible. Medplum’s documented</w:t>
      </w:r>
      <w:r>
        <w:t xml:space="preserve"> </w:t>
      </w:r>
      <w:hyperlink r:id="rId33">
        <w:r>
          <w:rPr>
            <w:rStyle w:val="Hyperlink"/>
          </w:rPr>
          <w:t xml:space="preserve">SOAP note approach</w:t>
        </w:r>
      </w:hyperlink>
      <w:r>
        <w:t xml:space="preserve"> </w:t>
      </w:r>
      <w:r>
        <w:t xml:space="preserve">maps each section to discrete resources — Observations for findings, ClinicalImpression for assessment, ServiceRequest / MedicationRequest / CarePlan for the plan. Reserve free-text (</w:t>
      </w:r>
      <w:r>
        <w:rPr>
          <w:rStyle w:val="VerbatimChar"/>
        </w:rPr>
        <w:t xml:space="preserve">ClinicalImpression.note</w:t>
      </w:r>
      <w:r>
        <w:t xml:space="preserve">) for the assessment (A) component of SOAP.</w:t>
      </w:r>
    </w:p>
    <w:p>
      <w:pPr>
        <w:pStyle w:val="BodyText"/>
      </w:pPr>
      <w:r>
        <w:rPr>
          <w:bCs/>
          <w:b/>
        </w:rPr>
        <w:t xml:space="preserve">⚠ Recommended pattern.</w:t>
      </w:r>
      <w:r>
        <w:t xml:space="preserve"> </w:t>
      </w:r>
      <w:r>
        <w:t xml:space="preserve">Surface a patient sidebar (problem list, allergies, active medications) alongside the active note, with inline edit.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06"/>
        </w:numPr>
        <w:pStyle w:val="Compact"/>
      </w:pPr>
      <w:r>
        <w:t xml:space="preserve">For each visit type from §2.1, what mix of structured forms vs. free-text does the workflow require?</w:t>
      </w:r>
    </w:p>
    <w:p>
      <w:pPr>
        <w:numPr>
          <w:ilvl w:val="0"/>
          <w:numId w:val="1006"/>
        </w:numPr>
        <w:pStyle w:val="Compact"/>
      </w:pPr>
      <w:r>
        <w:t xml:space="preserve">Are orders placed inline within the chart, or in a separate orders area?</w:t>
      </w:r>
    </w:p>
    <w:p>
      <w:pPr>
        <w:pStyle w:val="FirstParagraph"/>
      </w:pPr>
      <w:r>
        <w:rPr>
          <w:bCs/>
          <w:b/>
        </w:rPr>
        <w:t xml:space="preserve">What the answers drive: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2412"/>
        <w:gridCol w:w="3604"/>
        <w:gridCol w:w="3344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Decision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Medplum Recommendation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Alternative (and tradeoff)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Structured vs. freeform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Structured forms; free-text only where clinicians require 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Heavy free-text. Tradeoff: not queryable; does not leverage FHIR data advantages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Order placement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Inline in the Visit Template, generated as Tasks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Separate orders module. Tradeoff: loses inline ordering context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4"/>
    <w:bookmarkStart w:id="35" w:name="X5adc9c6238bb5dfd2d9d53b6e8f4a256fd3b32d"/>
    <w:p>
      <w:pPr>
        <w:pStyle w:val="Heading3"/>
      </w:pPr>
      <w:r>
        <w:t xml:space="preserve">2.3 How will form responses be parsed into queryable data?</w:t>
      </w:r>
    </w:p>
    <w:p>
      <w:pPr>
        <w:pStyle w:val="FirstParagraph"/>
      </w:pPr>
      <w:r>
        <w:rPr>
          <w:bCs/>
          <w:b/>
        </w:rPr>
        <w:t xml:space="preserve">Medplum Recommendation:</w:t>
      </w:r>
      <w:r>
        <w:t xml:space="preserve"> </w:t>
      </w:r>
      <w:r>
        <w:t xml:space="preserve">always parse — without parsing, form data isn’t queryable for analytics, alerting, or dashboards. The decision is</w:t>
      </w:r>
      <w:r>
        <w:t xml:space="preserve"> </w:t>
      </w:r>
      <w:r>
        <w:rPr>
          <w:iCs/>
          <w:i/>
        </w:rPr>
        <w:t xml:space="preserve">how</w:t>
      </w:r>
      <w:r>
        <w:t xml:space="preserve">, driven by parsing complexity.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07"/>
        </w:numPr>
        <w:pStyle w:val="Compact"/>
      </w:pPr>
      <w:r>
        <w:t xml:space="preserve">Does parsing need complex conditional behavior (score thresholds, external calls, multi-resource creation)?</w:t>
      </w:r>
    </w:p>
    <w:p>
      <w:pPr>
        <w:pStyle w:val="FirstParagraph"/>
      </w:pPr>
      <w:r>
        <w:rPr>
          <w:bCs/>
          <w:b/>
        </w:rPr>
        <w:t xml:space="preserve">What the answers drive: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3790"/>
        <w:gridCol w:w="5570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Logic is relatively simple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SDC +</w:t>
            </w:r>
            <w:r>
              <w:rPr>
                <w:bCs/>
                <w:b/>
              </w:rPr>
              <w:t xml:space="preserve"> </w:t>
            </w:r>
            <w:r>
              <w:rPr>
                <w:rStyle w:val="VerbatimChar"/>
                <w:bCs/>
                <w:b/>
              </w:rPr>
              <w:t xml:space="preserve">$extract</w:t>
            </w:r>
            <w:r>
              <w:rPr>
                <w:bCs/>
                <w:b/>
              </w:rPr>
              <w:t xml:space="preserve">.</w:t>
            </w:r>
            <w:r>
              <w:t xml:space="preserve"> </w:t>
            </w:r>
            <w:r>
              <w:t xml:space="preserve">Annotate the Questionnaire with SDC extensions; invoke</w:t>
            </w:r>
            <w:r>
              <w:t xml:space="preserve"> </w:t>
            </w:r>
            <w:r>
              <w:rPr>
                <w:rStyle w:val="VerbatimChar"/>
              </w:rPr>
              <w:t xml:space="preserve">$extract</w:t>
            </w:r>
            <w:r>
              <w:t xml:space="preserve"> </w:t>
            </w:r>
            <w:r>
              <w:t xml:space="preserve">on submission. Less flexible, but extraction logic lives in one place with the form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Logic is complex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Subscription + Bot.</w:t>
            </w:r>
            <w:r>
              <w:t xml:space="preserve"> </w:t>
            </w:r>
            <w:r>
              <w:t xml:space="preserve">Subscribe to QuestionnaireResponse and parse in code. More flexible (conditional logic, external calls), but Bot code changes are required when the form changes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5"/>
    <w:bookmarkStart w:id="36" w:name="what-are-the-signing-requirements"/>
    <w:p>
      <w:pPr>
        <w:pStyle w:val="Heading3"/>
      </w:pPr>
      <w:r>
        <w:t xml:space="preserve">2.4 What are the signing requirements?</w:t>
      </w:r>
    </w:p>
    <w:p>
      <w:pPr>
        <w:pStyle w:val="FirstParagraph"/>
      </w:pPr>
      <w:r>
        <w:t xml:space="preserve">The standard pattern: mark</w:t>
      </w:r>
      <w:r>
        <w:t xml:space="preserve"> </w:t>
      </w:r>
      <w:r>
        <w:rPr>
          <w:rStyle w:val="VerbatimChar"/>
        </w:rPr>
        <w:t xml:space="preserve">ClinicalImpression.status = completed</w:t>
      </w:r>
      <w:r>
        <w:t xml:space="preserve"> </w:t>
      </w:r>
      <w:r>
        <w:t xml:space="preserve">and create a Provenance on the Encounter capturing the signer and timestamp. The Provenance on the Encounter is what makes the entire visit chart legally a signed note. Signing and locking are typically separate actions — signing records the signature; locking prevents further edits.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08"/>
        </w:numPr>
        <w:pStyle w:val="Compact"/>
      </w:pPr>
      <w:r>
        <w:t xml:space="preserve">Is co-signing required (attending co-signs resident, provider co-signs scribe)?</w:t>
      </w:r>
    </w:p>
    <w:p>
      <w:pPr>
        <w:numPr>
          <w:ilvl w:val="0"/>
          <w:numId w:val="1008"/>
        </w:numPr>
        <w:pStyle w:val="Compact"/>
      </w:pPr>
      <w:r>
        <w:t xml:space="preserve">Should signing lock immediately, or leave a post-sign editable window?</w:t>
      </w:r>
    </w:p>
    <w:p>
      <w:pPr>
        <w:numPr>
          <w:ilvl w:val="0"/>
          <w:numId w:val="1008"/>
        </w:numPr>
        <w:pStyle w:val="Compact"/>
      </w:pPr>
      <w:r>
        <w:t xml:space="preserve">Will amendments be possible / needed after a chart is locked?</w:t>
      </w:r>
    </w:p>
    <w:p>
      <w:pPr>
        <w:numPr>
          <w:ilvl w:val="0"/>
          <w:numId w:val="1008"/>
        </w:numPr>
        <w:pStyle w:val="Compact"/>
      </w:pPr>
      <w:r>
        <w:t xml:space="preserve">Is a queryable audit trail of every signing event required?</w:t>
      </w:r>
    </w:p>
    <w:p>
      <w:pPr>
        <w:pStyle w:val="FirstParagraph"/>
      </w:pPr>
      <w:r>
        <w:rPr>
          <w:bCs/>
          <w:b/>
        </w:rPr>
        <w:t xml:space="preserve">What the answers drive: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3289"/>
        <w:gridCol w:w="6071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Single signer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ClinicalImpression</w:t>
            </w:r>
            <w:r>
              <w:t xml:space="preserve"> </w:t>
            </w:r>
            <w:r>
              <w:rPr>
                <w:rStyle w:val="VerbatimChar"/>
              </w:rPr>
              <w:t xml:space="preserve">completed</w:t>
            </w:r>
            <w:r>
              <w:t xml:space="preserve"> </w:t>
            </w:r>
            <w:r>
              <w:t xml:space="preserve">+ Provenance on the Encounter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Co-signature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Append additional Provenance entries per co-signer; surfaces multi-signer state. Typically a custom build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Lock timing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 and lock together for immediate lock; sign without locking if a post-sign editable window is needed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Post-lock amendments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Addendum: a separate DocumentReference linked to the Encounter, preserving the original signed chart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Audit trail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Provenance per signing event; query via</w:t>
            </w:r>
            <w:r>
              <w:t xml:space="preserve"> </w:t>
            </w:r>
            <w:r>
              <w:rPr>
                <w:rStyle w:val="VerbatimChar"/>
              </w:rPr>
              <w:t xml:space="preserve">Provenance?target=Encounter/{id}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6"/>
    <w:bookmarkStart w:id="37" w:name="who-owns-and-edits-visit-templates"/>
    <w:p>
      <w:pPr>
        <w:pStyle w:val="Heading3"/>
      </w:pPr>
      <w:r>
        <w:t xml:space="preserve">2.5 Who owns and edits Visit Templates?</w:t>
      </w:r>
    </w:p>
    <w:p>
      <w:pPr>
        <w:pStyle w:val="FirstParagraph"/>
      </w:pPr>
      <w:r>
        <w:rPr>
          <w:bCs/>
          <w:b/>
        </w:rPr>
        <w:t xml:space="preserve">Default:</w:t>
      </w:r>
      <w:r>
        <w:t xml:space="preserve"> </w:t>
      </w:r>
      <w:r>
        <w:t xml:space="preserve">engineering implements template changes from a spec maintained by clinical operations — clinical ops owns</w:t>
      </w:r>
      <w:r>
        <w:t xml:space="preserve"> </w:t>
      </w:r>
      <w:r>
        <w:rPr>
          <w:iCs/>
          <w:i/>
        </w:rPr>
        <w:t xml:space="preserve">what</w:t>
      </w:r>
      <w:r>
        <w:t xml:space="preserve"> </w:t>
      </w:r>
      <w:r>
        <w:t xml:space="preserve">should change, engineering implements via API or migration scripts. Works well when changes are infrequent or warrant review.</w:t>
      </w:r>
    </w:p>
    <w:p>
      <w:pPr>
        <w:pStyle w:val="BodyText"/>
      </w:pPr>
      <w:r>
        <w:t xml:space="preserve">If clinical ops needs to edit directly, the Medplum App provides a builder interface out of the box. It’s relatively bare-bones (FHIR-shaped), so customers wanting a more visual or user-friendly experience for non-technical users can build a custom admin UI on top.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09"/>
        </w:numPr>
        <w:pStyle w:val="Compact"/>
      </w:pPr>
      <w:r>
        <w:t xml:space="preserve">Will engineering implement template changes from a clinical-ops spec, or does clinical ops need to edit directly?</w:t>
      </w:r>
    </w:p>
    <w:p>
      <w:pPr>
        <w:pStyle w:val="FirstParagraph"/>
      </w:pPr>
      <w:r>
        <w:rPr>
          <w:bCs/>
          <w:b/>
        </w:rPr>
        <w:t xml:space="preserve">What the answers drive: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640"/>
        <w:gridCol w:w="4720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Engineering implements from a spec (default)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API or migration scripts; treated as code-reviewed artifacts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Clinical ops edits directly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the Medplum App’s builder interface out of the box; build a custom admin UI on top if a more visual / user-friendly experience is required</w:t>
            </w:r>
          </w:p>
        </w:tc>
      </w:tr>
    </w:tbl>
    <w:bookmarkEnd w:id="37"/>
    <w:bookmarkEnd w:id="38"/>
    <w:bookmarkEnd w:id="39"/>
    <w:p/>
    <w:sectPr>
      <w:pgSz w:h="15840" w:w="12240"/>
      <w:pgMar w:bottom="1440" w:footer="720" w:gutter="0" w:header="720" w:left="1440" w:right="1440" w:top="1440"/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oppins" w:cs="Poppins" w:eastAsia="Poppins" w:hAnsi="Poppins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="Poppins" w:cs="Poppins" w:eastAsia="Poppins" w:hAnsi="Poppins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="Poppins" w:cs="Poppins" w:eastAsia="Poppins" w:hAnsi="Poppins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="Poppins" w:cs="Poppins" w:eastAsia="Poppins" w:hAnsi="Poppins"/>
      <w:color w:val="9C36B5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="Poppins" w:cs="Poppins" w:eastAsia="Poppins" w:hAnsi="Poppins"/>
      <w:color w:val="9C36B5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val="9C36B5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val="9C36B5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val="9C36B5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="Poppins" w:cs="Poppins" w:eastAsia="Poppins" w:hAnsi="Poppins"/>
      <w:color w:val="9C36B5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="Poppins" w:cs="Poppins" w:eastAsia="Poppins" w:hAnsi="Poppins"/>
      <w:color w:val="9C36B5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val="9C36B5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val="9C36B5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val="9C36B5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qFormat/>
    <w:tblPr>
      <w:tblInd w:type="dxa" w:w="0"/>
      <w:tblBorders>
        <w:top w:color="D9C9E8" w:space="0" w:sz="4" w:val="single"/>
        <w:left w:color="D9C9E8" w:space="0" w:sz="4" w:val="single"/>
        <w:bottom w:color="D9C9E8" w:space="0" w:sz="4" w:val="single"/>
        <w:right w:color="D9C9E8" w:space="0" w:sz="4" w:val="single"/>
        <w:insideH w:color="D9C9E8" w:space="0" w:sz="4" w:val="single"/>
        <w:insideV w:color="D9C9E8" w:space="0" w:sz="4" w:val="single"/>
      </w:tblBorders>
      <w:tblCellMar>
        <w:top w:type="dxa" w:w="60"/>
        <w:left w:type="dxa" w:w="108"/>
        <w:bottom w:type="dxa" w:w="60"/>
        <w:right w:type="dxa" w:w="108"/>
      </w:tblCellMar>
    </w:tblPr>
    <w:tblStylePr w:type="firstRow">
      <w:rPr>
        <w:b/>
        <w:color w:val="402C6E"/>
      </w:rPr>
      <w:tcPr>
        <w:shd w:color="auto" w:fill="EFE3F8" w:val="clear"/>
        <w:vAlign w:val="center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val="9C36B5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Poppins" w:cs="Poppins" w:eastAsia="Poppins" w:hAnsi="Poppins"/>
      <w:b w:val="0"/>
      <w:bCs w:val="0"/>
      <w:color w:val="9C36B5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7" Target="/docs/api/fhir/operations/extract" TargetMode="External" /><Relationship Type="http://schemas.openxmlformats.org/officeDocument/2006/relationships/hyperlink" Id="rId26" Target="/docs/api/fhir/operations/plandefinition-apply" TargetMode="External" /><Relationship Type="http://schemas.openxmlformats.org/officeDocument/2006/relationships/hyperlink" Id="rId23" Target="/docs/charting" TargetMode="External" /><Relationship Type="http://schemas.openxmlformats.org/officeDocument/2006/relationships/hyperlink" Id="rId33" Target="/docs/charting/visit-templates" TargetMode="External" /><Relationship Type="http://schemas.openxmlformats.org/officeDocument/2006/relationships/hyperlink" Id="rId24" Target="/docs/provider/visits" TargetMode="External" /><Relationship Type="http://schemas.openxmlformats.org/officeDocument/2006/relationships/hyperlink" Id="rId25" Target="/docs/questionnaires/parsing-questionnaire-respons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/docs/api/fhir/operations/extract" TargetMode="External" /><Relationship Type="http://schemas.openxmlformats.org/officeDocument/2006/relationships/hyperlink" Id="rId26" Target="/docs/api/fhir/operations/plandefinition-apply" TargetMode="External" /><Relationship Type="http://schemas.openxmlformats.org/officeDocument/2006/relationships/hyperlink" Id="rId23" Target="/docs/charting" TargetMode="External" /><Relationship Type="http://schemas.openxmlformats.org/officeDocument/2006/relationships/hyperlink" Id="rId33" Target="/docs/charting/visit-templates" TargetMode="External" /><Relationship Type="http://schemas.openxmlformats.org/officeDocument/2006/relationships/hyperlink" Id="rId24" Target="/docs/provider/visits" TargetMode="External" /><Relationship Type="http://schemas.openxmlformats.org/officeDocument/2006/relationships/hyperlink" Id="rId25" Target="/docs/questionnaires/parsing-questionnaire-respons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