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943600" cy="1289649"/>
            <wp:effectExtent b="0" l="0" r="0" t="0"/>
            <wp:docPr descr="Medplum" title="" id="21" name="Picture"/>
            <a:graphic>
              <a:graphicData uri="http://schemas.openxmlformats.org/drawingml/2006/picture">
                <pic:pic>
                  <pic:nvPicPr>
                    <pic:cNvPr descr="medplum-wordmark-grape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96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5" w:name="access-control-decision-guide"/>
    <w:p>
      <w:pPr>
        <w:pStyle w:val="Heading1"/>
      </w:pPr>
      <w:r>
        <w:t xml:space="preserve">Access Control Decision Guide</w:t>
      </w:r>
    </w:p>
    <w:p>
      <w:pPr>
        <w:pStyle w:val="FirstParagraph"/>
      </w:pPr>
      <w:r>
        <w:rPr>
          <w:iCs/>
          <w:i/>
        </w:rPr>
        <w:t xml:space="preserve">Companion to the</w:t>
      </w:r>
      <w:r>
        <w:rPr>
          <w:iCs/>
          <w:i/>
        </w:rPr>
        <w:t xml:space="preserve"> </w:t>
      </w:r>
      <w:hyperlink r:id="rId23">
        <w:r>
          <w:rPr>
            <w:rStyle w:val="Hyperlink"/>
            <w:iCs/>
            <w:i/>
          </w:rPr>
          <w:t xml:space="preserve">Authorization and Access Control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docs.</w:t>
      </w:r>
    </w:p>
    <w:bookmarkStart w:id="24" w:name="section-1-use-case-participants"/>
    <w:p>
      <w:pPr>
        <w:pStyle w:val="Heading2"/>
      </w:pPr>
      <w:r>
        <w:t xml:space="preserve">Section 1: Use Case &amp; Participants</w:t>
      </w:r>
    </w:p>
    <w:p>
      <w:pPr>
        <w:pStyle w:val="FirstParagraph"/>
      </w:pPr>
      <w:r>
        <w:rPr>
          <w:bCs/>
          <w:b/>
        </w:rPr>
        <w:t xml:space="preserve">1.1 Who are the users?</w:t>
      </w:r>
    </w:p>
    <w:p>
      <w:pPr>
        <w:numPr>
          <w:ilvl w:val="0"/>
          <w:numId w:val="1001"/>
        </w:numPr>
        <w:pStyle w:val="Compact"/>
      </w:pPr>
      <w:r>
        <w:t xml:space="preserve">Patients only</w:t>
      </w:r>
    </w:p>
    <w:p>
      <w:pPr>
        <w:numPr>
          <w:ilvl w:val="0"/>
          <w:numId w:val="1001"/>
        </w:numPr>
        <w:pStyle w:val="Compact"/>
      </w:pPr>
      <w:r>
        <w:t xml:space="preserve">Providers / staff / partners (clients or outside vendors) only</w:t>
      </w:r>
    </w:p>
    <w:p>
      <w:pPr>
        <w:numPr>
          <w:ilvl w:val="0"/>
          <w:numId w:val="1001"/>
        </w:numPr>
        <w:pStyle w:val="Compact"/>
      </w:pPr>
      <w:r>
        <w:t xml:space="preserve">Both</w:t>
      </w:r>
    </w:p>
    <w:p>
      <w:pPr>
        <w:pStyle w:val="FirstParagraph"/>
      </w:pPr>
      <w:r>
        <w:rPr>
          <w:bCs/>
          <w:b/>
        </w:rPr>
        <w:t xml:space="preserve">1.2 What is your organizational structure?</w:t>
      </w:r>
    </w:p>
    <w:p>
      <w:pPr>
        <w:numPr>
          <w:ilvl w:val="0"/>
          <w:numId w:val="1002"/>
        </w:numPr>
        <w:pStyle w:val="Compact"/>
      </w:pPr>
      <w:r>
        <w:t xml:space="preserve">Single organization</w:t>
      </w:r>
    </w:p>
    <w:p>
      <w:pPr>
        <w:numPr>
          <w:ilvl w:val="0"/>
          <w:numId w:val="1002"/>
        </w:numPr>
        <w:pStyle w:val="Compact"/>
      </w:pPr>
      <w:r>
        <w:t xml:space="preserve">Multiple locations of one organization</w:t>
      </w:r>
    </w:p>
    <w:p>
      <w:pPr>
        <w:numPr>
          <w:ilvl w:val="0"/>
          <w:numId w:val="1002"/>
        </w:numPr>
        <w:pStyle w:val="Compact"/>
      </w:pPr>
      <w:r>
        <w:t xml:space="preserve">Multiple independent organizations (MSO-style)</w:t>
      </w:r>
    </w:p>
    <w:p>
      <w:pPr>
        <w:numPr>
          <w:ilvl w:val="0"/>
          <w:numId w:val="1002"/>
        </w:numPr>
        <w:pStyle w:val="Compact"/>
      </w:pPr>
      <w:r>
        <w:t xml:space="preserve">Departments or service lines within one organization</w:t>
      </w:r>
    </w:p>
    <w:p>
      <w:pPr>
        <w:numPr>
          <w:ilvl w:val="0"/>
          <w:numId w:val="1002"/>
        </w:numPr>
        <w:pStyle w:val="Compact"/>
      </w:pPr>
      <w:r>
        <w:t xml:space="preserve">Combination</w:t>
      </w:r>
    </w:p>
    <w:p>
      <w:pPr>
        <w:pStyle w:val="FirstParagraph"/>
      </w:pPr>
      <w:r>
        <w:rPr>
          <w:iCs/>
          <w:i/>
        </w:rPr>
        <w:t xml:space="preserve">Why: biggest driver of downstream design. If single org with no internal isolation, skip Section 2.</w:t>
      </w:r>
    </w:p>
    <w:p>
      <w:r>
        <w:pict>
          <v:rect style="width:0;height:1.5pt" o:hralign="center" o:hrstd="t" o:hr="t"/>
        </w:pict>
      </w:r>
    </w:p>
    <w:bookmarkEnd w:id="24"/>
    <w:bookmarkStart w:id="29" w:name="section-2-multi-tenancy"/>
    <w:p>
      <w:pPr>
        <w:pStyle w:val="Heading2"/>
      </w:pPr>
      <w:r>
        <w:t xml:space="preserve">Section 2: Multi-tenancy</w:t>
      </w:r>
    </w:p>
    <w:p>
      <w:pPr>
        <w:pStyle w:val="FirstParagraph"/>
      </w:pPr>
      <w:r>
        <w:rPr>
          <w:iCs/>
          <w:i/>
        </w:rPr>
        <w:t xml:space="preserve">Skip if single-organization with no internal isolation.</w:t>
      </w:r>
    </w:p>
    <w:p>
      <w:pPr>
        <w:pStyle w:val="BodyText"/>
      </w:pPr>
      <w:r>
        <w:t xml:space="preserve">Isolation uses</w:t>
      </w:r>
      <w:r>
        <w:t xml:space="preserve"> </w:t>
      </w:r>
      <w:r>
        <w:rPr>
          <w:bCs/>
          <w:b/>
        </w:rPr>
        <w:t xml:space="preserve">compartments</w:t>
      </w:r>
      <w:r>
        <w:t xml:space="preserve"> </w:t>
      </w:r>
      <w:r>
        <w:t xml:space="preserve">(</w:t>
      </w:r>
      <w:r>
        <w:rPr>
          <w:rStyle w:val="VerbatimChar"/>
        </w:rPr>
        <w:t xml:space="preserve">meta.compartment</w:t>
      </w:r>
      <w:r>
        <w:t xml:space="preserve">) matched by parameterized access policies.</w:t>
      </w:r>
    </w:p>
    <w:p>
      <w:pPr>
        <w:pStyle w:val="BodyText"/>
      </w:pPr>
      <w:r>
        <w:rPr>
          <w:bCs/>
          <w:b/>
        </w:rPr>
        <w:t xml:space="preserve">Design principle (from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Medplum docs</w:t>
        </w:r>
      </w:hyperlink>
      <w:r>
        <w:rPr>
          <w:bCs/>
          <w:b/>
        </w:rPr>
        <w:t xml:space="preserve">):</w:t>
      </w:r>
      <w:r>
        <w:t xml:space="preserve"> </w:t>
      </w:r>
      <w:r>
        <w:t xml:space="preserve">Push complexity into enrollment Bots, not policies. Each patient is tagged with their tenant(s); each practitioner’s</w:t>
      </w:r>
      <w:r>
        <w:t xml:space="preserve"> </w:t>
      </w:r>
      <w:r>
        <w:rPr>
          <w:rStyle w:val="VerbatimChar"/>
        </w:rPr>
        <w:t xml:space="preserve">ProjectMembership.access</w:t>
      </w:r>
      <w:r>
        <w:t xml:space="preserve"> </w:t>
      </w:r>
      <w:r>
        <w:t xml:space="preserve">lists every tenant they work in. See the</w:t>
      </w:r>
      <w:r>
        <w:t xml:space="preserve"> </w:t>
      </w:r>
      <w:hyperlink r:id="rId26">
        <w:r>
          <w:rPr>
            <w:rStyle w:val="Hyperlink"/>
          </w:rPr>
          <w:t xml:space="preserve">MSO demo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enrollment.ts</w:t>
        </w:r>
      </w:hyperlink>
      <w:r>
        <w:t xml:space="preserve"> </w:t>
      </w:r>
      <w:r>
        <w:t xml:space="preserve">for reference.</w:t>
      </w:r>
    </w:p>
    <w:p>
      <w:r>
        <w:pict>
          <v:rect style="width:0;height:1.5pt" o:hralign="center" o:hrstd="t" o:hr="t"/>
        </w:pict>
      </w:r>
    </w:p>
    <w:bookmarkStart w:id="27" w:name="a-tenant-modeling"/>
    <w:p>
      <w:pPr>
        <w:pStyle w:val="Heading3"/>
      </w:pPr>
      <w:r>
        <w:t xml:space="preserve">2a Tenant Modeling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3"/>
        </w:numPr>
        <w:pStyle w:val="Compact"/>
      </w:pPr>
      <w:r>
        <w:t xml:space="preserve">Internal term for tenants? (clinics, programs, sites, accounts)</w:t>
      </w:r>
    </w:p>
    <w:p>
      <w:pPr>
        <w:numPr>
          <w:ilvl w:val="0"/>
          <w:numId w:val="1003"/>
        </w:numPr>
        <w:pStyle w:val="Compact"/>
      </w:pPr>
      <w:r>
        <w:t xml:space="preserve">Grouping is organizational, functional, or per-patient?</w:t>
      </w:r>
    </w:p>
    <w:p>
      <w:pPr>
        <w:numPr>
          <w:ilvl w:val="0"/>
          <w:numId w:val="1003"/>
        </w:numPr>
        <w:pStyle w:val="Compact"/>
      </w:pPr>
      <w:r>
        <w:t xml:space="preserve">Is there an organizational hierarchy (e.g., region → clinic)?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5858"/>
        <w:gridCol w:w="3502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Clinics, practices, locations (MSO)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Organization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Service lines, departments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HealthcareService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Dedicated team per patient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CareTeam</w:t>
            </w:r>
            <w:r>
              <w:t xml:space="preserve"> </w:t>
            </w:r>
            <w:r>
              <w:t xml:space="preserve">per patient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Hierarchy pattern</w:t>
      </w:r>
      <w:r>
        <w:t xml:space="preserve"> </w:t>
      </w:r>
      <w:r>
        <w:t xml:space="preserve">(if tenants nest, e.g., region → clinic):</w:t>
      </w:r>
    </w:p>
    <w:p>
      <w:pPr>
        <w:numPr>
          <w:ilvl w:val="0"/>
          <w:numId w:val="1004"/>
        </w:numPr>
        <w:pStyle w:val="Compact"/>
      </w:pPr>
      <w:r>
        <w:t xml:space="preserve">Patients are tagged only at the</w:t>
      </w:r>
      <w:r>
        <w:t xml:space="preserve"> </w:t>
      </w:r>
      <w:r>
        <w:rPr>
          <w:bCs/>
          <w:b/>
        </w:rPr>
        <w:t xml:space="preserve">lowest level</w:t>
      </w:r>
      <w:r>
        <w:t xml:space="preserve"> </w:t>
      </w:r>
      <w:r>
        <w:t xml:space="preserve">they belong to.</w:t>
      </w:r>
    </w:p>
    <w:p>
      <w:pPr>
        <w:numPr>
          <w:ilvl w:val="0"/>
          <w:numId w:val="1004"/>
        </w:numPr>
        <w:pStyle w:val="Compact"/>
      </w:pPr>
      <w:r>
        <w:t xml:space="preserve">Practitioners enrolled at an intermediary level get one</w:t>
      </w:r>
      <w:r>
        <w:t xml:space="preserve"> </w:t>
      </w:r>
      <w:r>
        <w:rPr>
          <w:rStyle w:val="VerbatimChar"/>
        </w:rPr>
        <w:t xml:space="preserve">ProjectMembership.access</w:t>
      </w:r>
      <w:r>
        <w:t xml:space="preserve"> </w:t>
      </w:r>
      <w:r>
        <w:t xml:space="preserve">entry per lowest-level tenant under it (iteratively expanded).</w:t>
      </w:r>
    </w:p>
    <w:p>
      <w:pPr>
        <w:numPr>
          <w:ilvl w:val="0"/>
          <w:numId w:val="1004"/>
        </w:numPr>
        <w:pStyle w:val="Compact"/>
      </w:pPr>
      <w:r>
        <w:t xml:space="preserve">Adding a new lowest-level tenant requires a workflow to update every practitioner membership at or above that intermediary.</w:t>
      </w:r>
    </w:p>
    <w:p>
      <w:r>
        <w:pict>
          <v:rect style="width:0;height:1.5pt" o:hralign="center" o:hrstd="t" o:hr="t"/>
        </w:pict>
      </w:r>
    </w:p>
    <w:bookmarkEnd w:id="27"/>
    <w:bookmarkStart w:id="28" w:name="b-patient-and-practitioner-sharing"/>
    <w:p>
      <w:pPr>
        <w:pStyle w:val="Heading3"/>
      </w:pPr>
      <w:r>
        <w:t xml:space="preserve">2b Patient and Practitioner Sharing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5"/>
        </w:numPr>
        <w:pStyle w:val="Compact"/>
      </w:pPr>
      <w:r>
        <w:t xml:space="preserve">Can a patient be enrolled in more than one tenant at a time?</w:t>
      </w:r>
    </w:p>
    <w:p>
      <w:pPr>
        <w:numPr>
          <w:ilvl w:val="0"/>
          <w:numId w:val="1005"/>
        </w:numPr>
        <w:pStyle w:val="Compact"/>
      </w:pPr>
      <w:r>
        <w:t xml:space="preserve">Are practitioners isolated to their tenant, or visible across all tenants (global directory)?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680"/>
        <w:gridCol w:w="468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One tenant per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compartment on the Patient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shared across tenants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 compartments, one per tenant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Practitioners shared (global directory)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Leave unassigned; policy reads without</w:t>
            </w:r>
            <w:r>
              <w:t xml:space="preserve"> </w:t>
            </w:r>
            <w:r>
              <w:rPr>
                <w:rStyle w:val="VerbatimChar"/>
              </w:rPr>
              <w:t xml:space="preserve">_compartment</w:t>
            </w:r>
            <w:r>
              <w:t xml:space="preserve"> </w:t>
            </w:r>
            <w:r>
              <w:t xml:space="preserve">filter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Practitioners isolated per tenant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Tag with tenant compartment; policy filters by</w:t>
            </w:r>
            <w:r>
              <w:t xml:space="preserve"> </w:t>
            </w:r>
            <w:r>
              <w:rPr>
                <w:rStyle w:val="VerbatimChar"/>
              </w:rPr>
              <w:t xml:space="preserve">_compartment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End w:id="29"/>
    <w:bookmarkStart w:id="33" w:name="section-3-roles-permissions"/>
    <w:p>
      <w:pPr>
        <w:pStyle w:val="Heading2"/>
      </w:pPr>
      <w:r>
        <w:t xml:space="preserve">Section 3: Roles &amp; Permissions</w:t>
      </w:r>
    </w:p>
    <w:p>
      <w:pPr>
        <w:pStyle w:val="FirstParagraph"/>
      </w:pPr>
      <w:r>
        <w:t xml:space="preserve">For each role: name it, scope it (which tenants, if multi-tenant), say what resources it touches, and narrow as needed.</w:t>
      </w:r>
    </w:p>
    <w:p>
      <w:r>
        <w:pict>
          <v:rect style="width:0;height:1.5pt" o:hralign="center" o:hrstd="t" o:hr="t"/>
        </w:pict>
      </w:r>
    </w:p>
    <w:bookmarkStart w:id="30" w:name="a-role-inventory-scope"/>
    <w:p>
      <w:pPr>
        <w:pStyle w:val="Heading3"/>
      </w:pPr>
      <w:r>
        <w:t xml:space="preserve">3a Role Inventory &amp; Scope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6"/>
        </w:numPr>
        <w:pStyle w:val="Compact"/>
      </w:pPr>
      <w:r>
        <w:t xml:space="preserve">What are the role names? (physician, RN, MA, front desk, billing, care coordinator, medical director)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If multi-tenant:</w:t>
      </w:r>
      <w:r>
        <w:t xml:space="preserve"> </w:t>
      </w:r>
      <w:r>
        <w:t xml:space="preserve">for each role, which tenants does it cover? (one, several, all)</w:t>
      </w:r>
    </w:p>
    <w:p>
      <w:pPr>
        <w:numPr>
          <w:ilvl w:val="0"/>
          <w:numId w:val="1006"/>
        </w:numPr>
        <w:pStyle w:val="Compact"/>
      </w:pPr>
      <w:r>
        <w:t xml:space="preserve">Any oversight roles that need visibility across all tenants without per-tenant enrollment?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388"/>
        <w:gridCol w:w="4972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Modeling 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One tenant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</w:t>
            </w:r>
            <w:r>
              <w:t xml:space="preserve"> </w:t>
            </w:r>
            <w:r>
              <w:rPr>
                <w:rStyle w:val="VerbatimChar"/>
              </w:rPr>
              <w:t xml:space="preserve">ProjectMembership.access</w:t>
            </w:r>
            <w:r>
              <w:t xml:space="preserve"> </w:t>
            </w:r>
            <w:r>
              <w:t xml:space="preserve">entry parameterized with that tenant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Multiple tenants, combined 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access</w:t>
            </w:r>
            <w:r>
              <w:t xml:space="preserve"> </w:t>
            </w:r>
            <w:r>
              <w:t xml:space="preserve">entry per tenant, same policy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Org-wide / cross-tenant oversight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Unparameterized policy, no</w:t>
            </w:r>
            <w:r>
              <w:t xml:space="preserve"> </w:t>
            </w:r>
            <w:r>
              <w:rPr>
                <w:rStyle w:val="VerbatimChar"/>
              </w:rPr>
              <w:t xml:space="preserve">_compartment</w:t>
            </w:r>
            <w:r>
              <w:t xml:space="preserve"> </w:t>
            </w:r>
            <w:r>
              <w:t xml:space="preserve">filter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Tenants contractually can’t share data (e.g., locum across competitor clinics)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Separate logins per tenant — see callout below</w:t>
            </w:r>
          </w:p>
        </w:tc>
      </w:tr>
    </w:tbl>
    <w:p>
      <w:pPr>
        <w:pStyle w:val="BodyText"/>
      </w:pPr>
      <w:r>
        <w:rPr>
          <w:bCs/>
          <w:b/>
        </w:rPr>
        <w:t xml:space="preserve">⚠ One-way door: stacking is additive only.</w:t>
      </w:r>
      <w:r>
        <w:t xml:space="preserve"> </w:t>
      </w:r>
      <w:r>
        <w:t xml:space="preserve">Policies compose by union — you can’t narrow by composition. For genuinely narrower API access in one context (not just a filtered UI view), use</w:t>
      </w:r>
      <w:r>
        <w:t xml:space="preserve"> </w:t>
      </w:r>
      <w:r>
        <w:rPr>
          <w:bCs/>
          <w:b/>
        </w:rPr>
        <w:t xml:space="preserve">separate logins</w:t>
      </w:r>
      <w:r>
        <w:t xml:space="preserve">, not stacked policies.</w:t>
      </w:r>
    </w:p>
    <w:p>
      <w:pPr>
        <w:pStyle w:val="BodyText"/>
      </w:pPr>
      <w:r>
        <w:rPr>
          <w:iCs/>
          <w:i/>
        </w:rPr>
        <w:t xml:space="preserve">When separate logins are warranted:</w:t>
      </w:r>
      <w:r>
        <w:t xml:space="preserve"> </w:t>
      </w:r>
      <w:r>
        <w:t xml:space="preserve">contractual or regulatory obligations requiring the API to never return both scopes’ data in the same session. Example: a provider works at two independent clinics under separate BAAs — stacking would let one token read both, violating the BAA. Two memberships (each parameterized to one clinic) bound each session to one tenant.</w:t>
      </w:r>
    </w:p>
    <w:p>
      <w:pPr>
        <w:pStyle w:val="BodyText"/>
      </w:pPr>
      <w:r>
        <w:t xml:space="preserve">Test:</w:t>
      </w:r>
      <w:r>
        <w:t xml:space="preserve"> </w:t>
      </w:r>
      <w:r>
        <w:rPr>
          <w:iCs/>
          <w:i/>
        </w:rPr>
        <w:t xml:space="preserve">if this token leaked, should the attacker reach both scopes?</w:t>
      </w:r>
      <w:r>
        <w:t xml:space="preserve"> </w:t>
      </w:r>
      <w:r>
        <w:t xml:space="preserve">No → separate logins. Yes or don’t care → stacked; any</w:t>
      </w:r>
      <w:r>
        <w:t xml:space="preserve"> </w:t>
      </w:r>
      <w:r>
        <w:t xml:space="preserve">“</w:t>
      </w:r>
      <w:r>
        <w:t xml:space="preserve">switcher</w:t>
      </w:r>
      <w:r>
        <w:t xml:space="preserve">”</w:t>
      </w:r>
      <w:r>
        <w:t xml:space="preserve"> </w:t>
      </w:r>
      <w:r>
        <w:t xml:space="preserve">is purely a UI concern.</w:t>
      </w:r>
    </w:p>
    <w:p>
      <w:r>
        <w:pict>
          <v:rect style="width:0;height:1.5pt" o:hralign="center" o:hrstd="t" o:hr="t"/>
        </w:pict>
      </w:r>
    </w:p>
    <w:bookmarkEnd w:id="30"/>
    <w:bookmarkStart w:id="31" w:name="b-permission-mechanics"/>
    <w:p>
      <w:pPr>
        <w:pStyle w:val="Heading3"/>
      </w:pPr>
      <w:r>
        <w:t xml:space="preserve">3b Permission Mechanics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7"/>
        </w:numPr>
        <w:pStyle w:val="Compact"/>
      </w:pPr>
      <w:r>
        <w:t xml:space="preserve">For each role: which resource types does it read / write / search / delete?</w:t>
      </w:r>
    </w:p>
    <w:p>
      <w:pPr>
        <w:numPr>
          <w:ilvl w:val="0"/>
          <w:numId w:val="1007"/>
        </w:numPr>
        <w:pStyle w:val="Compact"/>
      </w:pPr>
      <w:r>
        <w:t xml:space="preserve">Any partial FHIR interactions? (create-only, read-without-search, etc.)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563"/>
        <w:gridCol w:w="579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Full CRUD on a resource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</w:t>
            </w:r>
            <w:r>
              <w:t xml:space="preserve"> </w:t>
            </w:r>
            <w:r>
              <w:rPr>
                <w:rStyle w:val="VerbatimChar"/>
              </w:rPr>
              <w:t xml:space="preserve">resource</w:t>
            </w:r>
            <w:r>
              <w:t xml:space="preserve"> </w:t>
            </w:r>
            <w:r>
              <w:t xml:space="preserve">entry, no</w:t>
            </w:r>
            <w:r>
              <w:t xml:space="preserve"> </w:t>
            </w:r>
            <w:r>
              <w:rPr>
                <w:rStyle w:val="VerbatimChar"/>
              </w:rPr>
              <w:t xml:space="preserve">interaction</w:t>
            </w:r>
            <w:r>
              <w:t xml:space="preserve"> </w:t>
            </w:r>
            <w:r>
              <w:t xml:space="preserve">restriction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Read-only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readonly: true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Partial interactions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Explicit</w:t>
            </w:r>
            <w:r>
              <w:t xml:space="preserve"> </w:t>
            </w:r>
            <w:r>
              <w:rPr>
                <w:rStyle w:val="VerbatimChar"/>
              </w:rPr>
              <w:t xml:space="preserve">interaction</w:t>
            </w:r>
            <w:r>
              <w:t xml:space="preserve"> </w:t>
            </w:r>
            <w:r>
              <w:t xml:space="preserve">array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1"/>
    <w:bookmarkStart w:id="32" w:name="c-narrowing-what-a-role-can-do"/>
    <w:p>
      <w:pPr>
        <w:pStyle w:val="Heading3"/>
      </w:pPr>
      <w:r>
        <w:t xml:space="preserve">3c Narrowing What a Role Can Do</w:t>
      </w:r>
    </w:p>
    <w:p>
      <w:pPr>
        <w:pStyle w:val="FirstParagraph"/>
      </w:pPr>
      <w:r>
        <w:rPr>
          <w:iCs/>
          <w:i/>
        </w:rPr>
        <w:t xml:space="preserve">Cover only the knobs that apply.</w:t>
      </w:r>
    </w:p>
    <w:p>
      <w:pPr>
        <w:pStyle w:val="BodyText"/>
      </w:pPr>
      <w:r>
        <w:rPr>
          <w:bCs/>
          <w:b/>
        </w:rPr>
        <w:t xml:space="preserve">Field-level</w:t>
      </w:r>
      <w:r>
        <w:t xml:space="preserve"> </w:t>
      </w:r>
      <w:r>
        <w:t xml:space="preserve">— partial field access (e.g., billing sees Patient minus diagnoses):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734"/>
        <w:gridCol w:w="562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Readable but not writable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readonlyFields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Not visible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hiddenFields</w:t>
            </w:r>
            <w:r>
              <w:t xml:space="preserve"> </w:t>
            </w:r>
            <w:r>
              <w:t xml:space="preserve">(masks output only — for decluttering, do it in the UI)</w:t>
            </w:r>
          </w:p>
        </w:tc>
      </w:tr>
    </w:tbl>
    <w:p>
      <w:pPr>
        <w:pStyle w:val="BodyText"/>
      </w:pPr>
      <w:r>
        <w:rPr>
          <w:bCs/>
          <w:b/>
        </w:rPr>
        <w:t xml:space="preserve">Write constraints</w:t>
      </w:r>
      <w:r>
        <w:t xml:space="preserve"> </w:t>
      </w:r>
      <w:r>
        <w:t xml:space="preserve">— enforce state transitions or required fields at the policy layer: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384"/>
        <w:gridCol w:w="497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Prevent field change in terminal state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writeConstraint</w:t>
            </w:r>
            <w:r>
              <w:t xml:space="preserve"> </w:t>
            </w:r>
            <w:r>
              <w:t xml:space="preserve">on</w:t>
            </w:r>
            <w:r>
              <w:t xml:space="preserve"> </w:t>
            </w:r>
            <w:r>
              <w:rPr>
                <w:rStyle w:val="VerbatimChar"/>
              </w:rPr>
              <w:t xml:space="preserve">%before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Require field at transition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writeConstraint</w:t>
            </w:r>
            <w:r>
              <w:t xml:space="preserve"> </w:t>
            </w:r>
            <w:r>
              <w:t xml:space="preserve">on</w:t>
            </w:r>
            <w:r>
              <w:t xml:space="preserve"> </w:t>
            </w:r>
            <w:r>
              <w:rPr>
                <w:rStyle w:val="VerbatimChar"/>
              </w:rPr>
              <w:t xml:space="preserve">%after</w:t>
            </w:r>
            <w:r>
              <w:t xml:space="preserve"> </w:t>
            </w:r>
            <w:r>
              <w:t xml:space="preserve">+ field presence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Update-only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Prefix with</w:t>
            </w:r>
            <w:r>
              <w:t xml:space="preserve"> </w:t>
            </w:r>
            <w:r>
              <w:rPr>
                <w:rStyle w:val="VerbatimChar"/>
              </w:rPr>
              <w:t xml:space="preserve">%before.exists() implies ...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Create-only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Prefix with</w:t>
            </w:r>
            <w:r>
              <w:t xml:space="preserve"> </w:t>
            </w:r>
            <w:r>
              <w:rPr>
                <w:rStyle w:val="VerbatimChar"/>
              </w:rPr>
              <w:t xml:space="preserve">%before.exists().not() implies ...</w:t>
            </w:r>
          </w:p>
        </w:tc>
      </w:tr>
    </w:tbl>
    <w:p>
      <w:pPr>
        <w:pStyle w:val="BodyText"/>
      </w:pPr>
      <w:r>
        <w:t xml:space="preserve">Keep FHIRPath simple; complex logic belongs in a Bot.</w:t>
      </w:r>
    </w:p>
    <w:p>
      <w:pPr>
        <w:pStyle w:val="BodyText"/>
      </w:pPr>
      <w:r>
        <w:rPr>
          <w:bCs/>
          <w:b/>
        </w:rPr>
        <w:t xml:space="preserve">Criteria-based filtering</w:t>
      </w:r>
      <w:r>
        <w:t xml:space="preserve"> </w:t>
      </w:r>
      <w:r>
        <w:t xml:space="preserve">— filter by resource attribute (geography, code, status):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640"/>
        <w:gridCol w:w="572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State license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Patient?address-state=%licensed_state</w:t>
            </w:r>
            <w:r>
              <w:t xml:space="preserve">, parameterized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Multi-state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access</w:t>
            </w:r>
            <w:r>
              <w:t xml:space="preserve"> </w:t>
            </w:r>
            <w:r>
              <w:t xml:space="preserve">entry per state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Specialty or status filter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criteria</w:t>
            </w:r>
            <w:r>
              <w:t xml:space="preserve"> </w:t>
            </w:r>
            <w:r>
              <w:t xml:space="preserve">with code/status filter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Criteria + tenant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</w:t>
            </w:r>
            <w:r>
              <w:t xml:space="preserve"> </w:t>
            </w:r>
            <w:r>
              <w:rPr>
                <w:rStyle w:val="VerbatimChar"/>
              </w:rPr>
              <w:t xml:space="preserve">criteria</w:t>
            </w:r>
            <w:r>
              <w:t xml:space="preserve"> </w:t>
            </w:r>
            <w:r>
              <w:t xml:space="preserve">string combining both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criteria</w:t>
      </w:r>
      <w:r>
        <w:t xml:space="preserve"> </w:t>
      </w:r>
      <w:r>
        <w:t xml:space="preserve">supports only</w:t>
      </w:r>
      <w:r>
        <w:t xml:space="preserve"> </w:t>
      </w:r>
      <w:r>
        <w:rPr>
          <w:rStyle w:val="VerbatimChar"/>
        </w:rPr>
        <w:t xml:space="preserve">:not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:missing</w:t>
      </w:r>
      <w:r>
        <w:t xml:space="preserve"> </w:t>
      </w:r>
      <w:r>
        <w:t xml:space="preserve">— no chained searches. Denormalize or tag via an enrollment Bot.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section-4-admin-structure"/>
    <w:p>
      <w:pPr>
        <w:pStyle w:val="Heading2"/>
      </w:pPr>
      <w:r>
        <w:t xml:space="preserve">Section 4: Admin Structure</w:t>
      </w:r>
    </w:p>
    <w:p>
      <w:pPr>
        <w:pStyle w:val="FirstParagraph"/>
      </w:pPr>
      <w:r>
        <w:rPr>
          <w:bCs/>
          <w:b/>
        </w:rPr>
        <w:t xml:space="preserve">Questions:</w:t>
      </w:r>
    </w:p>
    <w:p>
      <w:pPr>
        <w:numPr>
          <w:ilvl w:val="0"/>
          <w:numId w:val="1008"/>
        </w:numPr>
        <w:pStyle w:val="Compact"/>
      </w:pPr>
      <w:r>
        <w:t xml:space="preserve">Who invites/removes users and manages memberships?</w:t>
      </w:r>
    </w:p>
    <w:p>
      <w:pPr>
        <w:numPr>
          <w:ilvl w:val="0"/>
          <w:numId w:val="1008"/>
        </w:numPr>
        <w:pStyle w:val="Compact"/>
      </w:pPr>
      <w:r>
        <w:t xml:space="preserve">Who manages Bots, ClientApplications, AccessPolicies?</w:t>
      </w:r>
    </w:p>
    <w:p>
      <w:pPr>
        <w:numPr>
          <w:ilvl w:val="0"/>
          <w:numId w:val="1008"/>
        </w:numPr>
        <w:pStyle w:val="Compact"/>
      </w:pPr>
      <w:r>
        <w:t xml:space="preserve">Any super admin needs? (project creation via API, overwriting protected fields)</w:t>
      </w:r>
    </w:p>
    <w:p>
      <w:pPr>
        <w:numPr>
          <w:ilvl w:val="0"/>
          <w:numId w:val="1008"/>
        </w:numPr>
        <w:pStyle w:val="Compact"/>
      </w:pPr>
      <w:r>
        <w:t xml:space="preserve">Should admins be blocked from clinical data?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384"/>
        <w:gridCol w:w="4976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Standard admin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ProjectMembership.admin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Admin with narrowed clinical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flag + dedicated AccessPolicy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Admin blocked from clinical 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 flag +</w:t>
            </w:r>
            <w:r>
              <w:t xml:space="preserve"> </w:t>
            </w:r>
            <w:r>
              <w:rPr>
                <w:rStyle w:val="VerbatimChar"/>
              </w:rPr>
              <w:t xml:space="preserve">hiddenFields</w:t>
            </w:r>
            <w:r>
              <w:t xml:space="preserve"> </w:t>
            </w:r>
            <w:r>
              <w:t xml:space="preserve">on clinical resources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Project creation, overwriting protected fields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 admin — server operators only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Separate</w:t>
            </w:r>
            <w:r>
              <w:t xml:space="preserve"> </w:t>
            </w:r>
            <w:r>
              <w:t xml:space="preserve">“</w:t>
            </w:r>
            <w:r>
              <w:t xml:space="preserve">user manager</w:t>
            </w:r>
            <w:r>
              <w:t xml:space="preserve">”</w:t>
            </w:r>
            <w:r>
              <w:t xml:space="preserve"> </w:t>
            </w:r>
            <w:r>
              <w:t xml:space="preserve">vs. </w:t>
            </w:r>
            <w:r>
              <w:t xml:space="preserve">“</w:t>
            </w:r>
            <w:r>
              <w:t xml:space="preserve">tech admin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AccessPolicies stacked on admin flag (see 3b)</w:t>
            </w:r>
          </w:p>
        </w:tc>
      </w:tr>
    </w:tbl>
    <w:p>
      <w:pPr>
        <w:pStyle w:val="BodyText"/>
      </w:pPr>
      <w:r>
        <w:rPr>
          <w:bCs/>
          <w:b/>
        </w:rPr>
        <w:t xml:space="preserve">⚠ Note:</w:t>
      </w:r>
      <w:r>
        <w:t xml:space="preserve"> </w:t>
      </w:r>
      <w:r>
        <w:t xml:space="preserve">Admin flag covers admin resources only (</w:t>
      </w:r>
      <w:r>
        <w:rPr>
          <w:rStyle w:val="VerbatimChar"/>
        </w:rPr>
        <w:t xml:space="preserve">Project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ProjectMembership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</w:t>
      </w:r>
      <w:r>
        <w:t xml:space="preserve">) — admins still need a policy for clinical data.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3" w:name="appendix-additional-decisions"/>
    <w:p>
      <w:pPr>
        <w:pStyle w:val="Heading1"/>
      </w:pPr>
      <w:r>
        <w:t xml:space="preserve">Appendix: Additional Decisions</w:t>
      </w:r>
    </w:p>
    <w:p>
      <w:pPr>
        <w:pStyle w:val="FirstParagraph"/>
      </w:pPr>
      <w:r>
        <w:rPr>
          <w:iCs/>
          <w:i/>
        </w:rPr>
        <w:t xml:space="preserve">Narrower decisions that apply only in specific situations. Cover each only if relevant.</w:t>
      </w:r>
    </w:p>
    <w:p>
      <w:r>
        <w:pict>
          <v:rect style="width:0;height:1.5pt" o:hralign="center" o:hrstd="t" o:hr="t"/>
        </w:pict>
      </w:r>
    </w:p>
    <w:bookmarkStart w:id="36" w:name="a.-open-registration-caregivers"/>
    <w:p>
      <w:pPr>
        <w:pStyle w:val="Heading2"/>
      </w:pPr>
      <w:r>
        <w:t xml:space="preserve">A. Open Registration &amp; Caregivers</w:t>
      </w:r>
    </w:p>
    <w:p>
      <w:pPr>
        <w:pStyle w:val="FirstParagraph"/>
      </w:pPr>
      <w:r>
        <w:rPr>
          <w:iCs/>
          <w:i/>
        </w:rPr>
        <w:t xml:space="preserve">If the product has a patient portal.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09"/>
        </w:numPr>
        <w:pStyle w:val="Compact"/>
      </w:pPr>
      <w:r>
        <w:t xml:space="preserve">Self-registration or staff-invite?</w:t>
      </w:r>
    </w:p>
    <w:p>
      <w:pPr>
        <w:numPr>
          <w:ilvl w:val="0"/>
          <w:numId w:val="1009"/>
        </w:numPr>
        <w:pStyle w:val="Compact"/>
      </w:pPr>
      <w:r>
        <w:t xml:space="preserve">Are caregivers / proxies needed? (parents, adult children, guardians)</w:t>
      </w:r>
    </w:p>
    <w:p>
      <w:pPr>
        <w:numPr>
          <w:ilvl w:val="0"/>
          <w:numId w:val="1009"/>
        </w:numPr>
        <w:pStyle w:val="Compact"/>
      </w:pPr>
      <w:r>
        <w:t xml:space="preserve">One caregiver with multiple patients? One patient with multiple caregivers?</w:t>
      </w:r>
    </w:p>
    <w:p>
      <w:pPr>
        <w:numPr>
          <w:ilvl w:val="0"/>
          <w:numId w:val="1009"/>
        </w:numPr>
        <w:pStyle w:val="Compact"/>
      </w:pPr>
      <w:r>
        <w:t xml:space="preserve">How is the caregiver relationship established and revoked?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3993"/>
        <w:gridCol w:w="536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Invite-only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</w:t>
            </w:r>
            <w:r>
              <w:t xml:space="preserve"> </w:t>
            </w:r>
            <w:r>
              <w:rPr>
                <w:rStyle w:val="VerbatimChar"/>
              </w:rPr>
              <w:t xml:space="preserve">ProjectMembership</w:t>
            </w:r>
            <w:r>
              <w:t xml:space="preserve"> </w:t>
            </w:r>
            <w:r>
              <w:t xml:space="preserve">with patient policy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Open self-registration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</w:t>
            </w:r>
            <w:r>
              <w:t xml:space="preserve"> </w:t>
            </w:r>
            <w:r>
              <w:rPr>
                <w:rStyle w:val="VerbatimChar"/>
              </w:rPr>
              <w:t xml:space="preserve">Project.defaultPatientAccessPolicy</w:t>
            </w:r>
            <w:r>
              <w:t xml:space="preserve">; enable open registration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sees own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Parameterized policy with</w:t>
            </w:r>
            <w:r>
              <w:t xml:space="preserve"> </w:t>
            </w:r>
            <w:r>
              <w:rPr>
                <w:rStyle w:val="VerbatimChar"/>
              </w:rPr>
              <w:t xml:space="preserve">%patient</w:t>
            </w:r>
            <w:r>
              <w:t xml:space="preserve"> </w:t>
            </w:r>
            <w:r>
              <w:t xml:space="preserve">on clinical resources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Single caregiver, single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access</w:t>
            </w:r>
            <w:r>
              <w:t xml:space="preserve"> </w:t>
            </w:r>
            <w:r>
              <w:t xml:space="preserve">entry with</w:t>
            </w:r>
            <w:r>
              <w:t xml:space="preserve"> </w:t>
            </w:r>
            <w:r>
              <w:rPr>
                <w:rStyle w:val="VerbatimChar"/>
              </w:rPr>
              <w:t xml:space="preserve">%patient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One caregiver, multiple patients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</w:t>
            </w:r>
            <w:r>
              <w:t xml:space="preserve"> </w:t>
            </w:r>
            <w:r>
              <w:rPr>
                <w:rStyle w:val="VerbatimChar"/>
              </w:rPr>
              <w:t xml:space="preserve">access</w:t>
            </w:r>
            <w:r>
              <w:t xml:space="preserve"> </w:t>
            </w:r>
            <w:r>
              <w:t xml:space="preserve">entries, different</w:t>
            </w:r>
            <w:r>
              <w:t xml:space="preserve"> </w:t>
            </w:r>
            <w:r>
              <w:rPr>
                <w:rStyle w:val="VerbatimChar"/>
              </w:rPr>
              <w:t xml:space="preserve">%patient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Multiple caregivers per patient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caregiver has their own ProjectMembership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Revoke caregiver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Remove the corresponding</w:t>
            </w:r>
            <w:r>
              <w:t xml:space="preserve"> </w:t>
            </w:r>
            <w:r>
              <w:rPr>
                <w:rStyle w:val="VerbatimChar"/>
              </w:rPr>
              <w:t xml:space="preserve">access</w:t>
            </w:r>
            <w:r>
              <w:t xml:space="preserve"> </w:t>
            </w:r>
            <w:r>
              <w:t xml:space="preserve">entry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Time-bound caregiver access (e.g., expires at age 18)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Application-layer enforcement — not native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b.-smart-on-fhir"/>
    <w:p>
      <w:pPr>
        <w:pStyle w:val="Heading2"/>
      </w:pPr>
      <w:r>
        <w:t xml:space="preserve">B. SMART on FHIR</w:t>
      </w:r>
    </w:p>
    <w:p>
      <w:pPr>
        <w:pStyle w:val="FirstParagraph"/>
      </w:pPr>
      <w:r>
        <w:rPr>
          <w:iCs/>
          <w:i/>
        </w:rPr>
        <w:t xml:space="preserve">If third-party apps (not your own frontend) request access.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0"/>
        </w:numPr>
        <w:pStyle w:val="Compact"/>
      </w:pPr>
      <w:r>
        <w:t xml:space="preserve">Patient-context launch, provider-context launch, or standalone?</w:t>
      </w:r>
    </w:p>
    <w:p>
      <w:pPr>
        <w:numPr>
          <w:ilvl w:val="0"/>
          <w:numId w:val="1010"/>
        </w:numPr>
        <w:pStyle w:val="Compact"/>
      </w:pPr>
      <w:r>
        <w:t xml:space="preserve">Which scopes?</w:t>
      </w:r>
    </w:p>
    <w:p>
      <w:pPr>
        <w:numPr>
          <w:ilvl w:val="0"/>
          <w:numId w:val="1010"/>
        </w:numPr>
        <w:pStyle w:val="Compact"/>
      </w:pPr>
      <w:r>
        <w:t xml:space="preserve">Offline access needed?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089"/>
        <w:gridCol w:w="5271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Your own frontend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SMART — standard ClientApplication + AccessPolicy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Third-party, patient-context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SMART 2.0.0,</w:t>
            </w:r>
            <w:r>
              <w:t xml:space="preserve"> </w:t>
            </w:r>
            <w:r>
              <w:rPr>
                <w:rStyle w:val="VerbatimChar"/>
              </w:rPr>
              <w:t xml:space="preserve">launch/patient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Third-party, provider-context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SMART 2.0.0,</w:t>
            </w:r>
            <w:r>
              <w:t xml:space="preserve"> </w:t>
            </w:r>
            <w:r>
              <w:rPr>
                <w:rStyle w:val="VerbatimChar"/>
              </w:rPr>
              <w:t xml:space="preserve">launch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Standalone patient app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patient/*.rs</w:t>
            </w:r>
            <w:r>
              <w:t xml:space="preserve"> </w:t>
            </w:r>
            <w:r>
              <w:t xml:space="preserve">or narrower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Offline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</w:t>
            </w:r>
            <w:r>
              <w:t xml:space="preserve"> </w:t>
            </w:r>
            <w:r>
              <w:rPr>
                <w:rStyle w:val="VerbatimChar"/>
              </w:rPr>
              <w:t xml:space="preserve">offline_access</w:t>
            </w:r>
          </w:p>
        </w:tc>
      </w:tr>
    </w:tbl>
    <w:p>
      <w:pPr>
        <w:pStyle w:val="BodyText"/>
      </w:pPr>
      <w:r>
        <w:rPr>
          <w:bCs/>
          <w:b/>
        </w:rPr>
        <w:t xml:space="preserve">⚠ Note:</w:t>
      </w:r>
      <w:r>
        <w:t xml:space="preserve"> </w:t>
      </w:r>
      <w:r>
        <w:t xml:space="preserve">Effective access = SMART scopes ∩ AccessPolicy.</w:t>
      </w:r>
    </w:p>
    <w:p>
      <w:r>
        <w:pict>
          <v:rect style="width:0;height:1.5pt" o:hralign="center" o:hrstd="t" o:hr="t"/>
        </w:pict>
      </w:r>
    </w:p>
    <w:bookmarkEnd w:id="37"/>
    <w:bookmarkStart w:id="38" w:name="c.-ip-access-rules"/>
    <w:p>
      <w:pPr>
        <w:pStyle w:val="Heading2"/>
      </w:pPr>
      <w:r>
        <w:t xml:space="preserve">C. IP Access Rules</w:t>
      </w:r>
    </w:p>
    <w:p>
      <w:pPr>
        <w:pStyle w:val="FirstParagraph"/>
      </w:pPr>
      <w:r>
        <w:rPr>
          <w:iCs/>
          <w:i/>
        </w:rPr>
        <w:t xml:space="preserve">If access should be restricted by IP range.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1"/>
        </w:numPr>
        <w:pStyle w:val="Compact"/>
      </w:pPr>
      <w:r>
        <w:t xml:space="preserve">Restrict by IP range? (VPN, on-prem devices)</w:t>
      </w:r>
    </w:p>
    <w:p>
      <w:pPr>
        <w:numPr>
          <w:ilvl w:val="0"/>
          <w:numId w:val="1011"/>
        </w:numPr>
        <w:pStyle w:val="Compact"/>
      </w:pPr>
      <w:r>
        <w:t xml:space="preserve">Any roles that bypass?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2496"/>
        <w:gridCol w:w="6864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VPN-only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 VPN ranges + wildcard block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On-prem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 clinic network + wildcard block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Mixed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Different AccessPolicies per role</w:t>
            </w:r>
          </w:p>
        </w:tc>
      </w:tr>
    </w:tbl>
    <w:p>
      <w:pPr>
        <w:pStyle w:val="BodyText"/>
      </w:pPr>
      <w:r>
        <w:rPr>
          <w:bCs/>
          <w:b/>
        </w:rPr>
        <w:t xml:space="preserve">⚠ Note:</w:t>
      </w:r>
      <w:r>
        <w:t xml:space="preserve"> </w:t>
      </w:r>
      <w:r>
        <w:t xml:space="preserve">IPv4 only. Rules evaluate sequentially — always terminate with a wildcard block.</w:t>
      </w:r>
    </w:p>
    <w:p>
      <w:r>
        <w:pict>
          <v:rect style="width:0;height:1.5pt" o:hralign="center" o:hrstd="t" o:hr="t"/>
        </w:pict>
      </w:r>
    </w:p>
    <w:bookmarkEnd w:id="38"/>
    <w:bookmarkStart w:id="40" w:name="d.-enrollment-reassignment-workflows"/>
    <w:p>
      <w:pPr>
        <w:pStyle w:val="Heading2"/>
      </w:pPr>
      <w:r>
        <w:t xml:space="preserve">D. Enrollment &amp; Reassignment Workflows</w:t>
      </w:r>
    </w:p>
    <w:p>
      <w:pPr>
        <w:pStyle w:val="FirstParagraph"/>
      </w:pPr>
      <w:r>
        <w:rPr>
          <w:iCs/>
          <w:i/>
        </w:rPr>
        <w:t xml:space="preserve">If Section 2 multi-tenancy applies.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2"/>
        </w:numPr>
        <w:pStyle w:val="Compact"/>
      </w:pPr>
      <w:r>
        <w:t xml:space="preserve">When does a patient get enrolled in a tenant? (registration, first appointment, referral, insurance, geography)</w:t>
      </w:r>
    </w:p>
    <w:p>
      <w:pPr>
        <w:numPr>
          <w:ilvl w:val="0"/>
          <w:numId w:val="1012"/>
        </w:numPr>
        <w:pStyle w:val="Compact"/>
      </w:pPr>
      <w:r>
        <w:t xml:space="preserve">Who is authorized to move a patient between tenants?</w:t>
      </w:r>
    </w:p>
    <w:p>
      <w:pPr>
        <w:numPr>
          <w:ilvl w:val="0"/>
          <w:numId w:val="1012"/>
        </w:numPr>
        <w:pStyle w:val="Compact"/>
      </w:pPr>
      <w:r>
        <w:t xml:space="preserve">On transfer: do records follow the patient, stay with the original tenant, or become shared?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185"/>
        <w:gridCol w:w="5175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Patient enrollment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 calls</w:t>
            </w:r>
            <w:r>
              <w:t xml:space="preserve"> </w:t>
            </w:r>
            <w:hyperlink r:id="rId39">
              <w:r>
                <w:rPr>
                  <w:rStyle w:val="VerbatimChar"/>
                </w:rPr>
                <w:t xml:space="preserve">$set-accounts</w:t>
              </w:r>
            </w:hyperlink>
            <w:r>
              <w:t xml:space="preserve"> </w:t>
            </w:r>
            <w:r>
              <w:t xml:space="preserve">on the triggering event; use</w:t>
            </w:r>
            <w:r>
              <w:t xml:space="preserve"> </w:t>
            </w:r>
            <w:r>
              <w:rPr>
                <w:rStyle w:val="VerbatimChar"/>
              </w:rPr>
              <w:t xml:space="preserve">propagate: true</w:t>
            </w:r>
            <w:r>
              <w:t xml:space="preserve"> </w:t>
            </w:r>
            <w:r>
              <w:t xml:space="preserve">to tag related resources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Transfer, records follow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 compartment with</w:t>
            </w:r>
            <w:r>
              <w:t xml:space="preserve"> </w:t>
            </w:r>
            <w:r>
              <w:rPr>
                <w:rStyle w:val="VerbatimChar"/>
              </w:rPr>
              <w:t xml:space="preserve">propagate: true</w:t>
            </w:r>
            <w:r>
              <w:t xml:space="preserve">; old tenant loses access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Transfer, records stay / shared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 new compartment (don’t replace); both tenants retain access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Reference implementation:</w:t>
      </w:r>
      <w:r>
        <w:t xml:space="preserve"> </w:t>
      </w:r>
      <w:hyperlink r:id="rId26">
        <w:r>
          <w:rPr>
            <w:rStyle w:val="Hyperlink"/>
          </w:rPr>
          <w:t xml:space="preserve">MSO demo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enrollment.ts</w:t>
        </w:r>
      </w:hyperlink>
      <w:r>
        <w:t xml:space="preserve"> </w:t>
      </w:r>
      <w:r>
        <w:t xml:space="preserve">— canonical example patterns.</w:t>
      </w:r>
    </w:p>
    <w:p>
      <w:r>
        <w:pict>
          <v:rect style="width:0;height:1.5pt" o:hralign="center" o:hrstd="t" o:hr="t"/>
        </w:pict>
      </w:r>
    </w:p>
    <w:bookmarkEnd w:id="40"/>
    <w:bookmarkStart w:id="41" w:name="e.-shared-vs.-tenant-specific-resources"/>
    <w:p>
      <w:pPr>
        <w:pStyle w:val="Heading2"/>
      </w:pPr>
      <w:r>
        <w:t xml:space="preserve">E. Shared vs. Tenant-Specific Resources</w:t>
      </w:r>
    </w:p>
    <w:p>
      <w:pPr>
        <w:pStyle w:val="FirstParagraph"/>
      </w:pPr>
      <w:r>
        <w:rPr>
          <w:iCs/>
          <w:i/>
        </w:rPr>
        <w:t xml:space="preserve">If Section 2 multi-tenancy applies.</w:t>
      </w:r>
    </w:p>
    <w:p>
      <w:pPr>
        <w:pStyle w:val="BodyText"/>
      </w:pPr>
      <w:r>
        <w:rPr>
          <w:bCs/>
          <w:b/>
        </w:rPr>
        <w:t xml:space="preserve">Questions:</w:t>
      </w:r>
    </w:p>
    <w:p>
      <w:pPr>
        <w:numPr>
          <w:ilvl w:val="0"/>
          <w:numId w:val="1013"/>
        </w:numPr>
        <w:pStyle w:val="Compact"/>
      </w:pPr>
      <w:r>
        <w:t xml:space="preserve">Terminology (CodeSystems, ValueSets) shared or tenant-specific?</w:t>
      </w:r>
    </w:p>
    <w:p>
      <w:pPr>
        <w:numPr>
          <w:ilvl w:val="0"/>
          <w:numId w:val="1013"/>
        </w:numPr>
        <w:pStyle w:val="Compact"/>
      </w:pPr>
      <w:r>
        <w:t xml:space="preserve">Questionnaires shared or per-tenant?</w:t>
      </w:r>
    </w:p>
    <w:p>
      <w:pPr>
        <w:numPr>
          <w:ilvl w:val="0"/>
          <w:numId w:val="1013"/>
        </w:numPr>
        <w:pStyle w:val="Compact"/>
      </w:pPr>
      <w:r>
        <w:t xml:space="preserve">PlanDefinitions / ActivityDefinitions global or per-tenant?</w:t>
      </w:r>
    </w:p>
    <w:p>
      <w:pPr>
        <w:numPr>
          <w:ilvl w:val="0"/>
          <w:numId w:val="1013"/>
        </w:numPr>
        <w:pStyle w:val="Compact"/>
      </w:pPr>
      <w:r>
        <w:t xml:space="preserve">Any resources shared across projects (not just tenants)?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633"/>
        <w:gridCol w:w="4727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Shared standard terminology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Leave unassigned; unfiltered read in policy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Tenant-specific Questionnaires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$set-accounts</w:t>
            </w:r>
            <w:r>
              <w:t xml:space="preserve"> </w:t>
            </w:r>
            <w:r>
              <w:t xml:space="preserve">tags with tenant; filter by</w:t>
            </w:r>
            <w:r>
              <w:t xml:space="preserve"> </w:t>
            </w:r>
            <w:r>
              <w:rPr>
                <w:rStyle w:val="VerbatimChar"/>
              </w:rPr>
              <w:t xml:space="preserve">_compartment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Mixed (some global, some per-tenant)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resource entries in policy: one filtered, one unfiltered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Global Bots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Leave unassigned; Bots run as ClientApplication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Reference data shared across multiple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 admin creates a linked project (read-only view)</w:t>
            </w:r>
          </w:p>
        </w:tc>
      </w:tr>
    </w:tbl>
    <w:p>
      <w:pPr>
        <w:pStyle w:val="BodyText"/>
      </w:pPr>
      <w:r>
        <w:rPr>
          <w:bCs/>
          <w:b/>
        </w:rPr>
        <w:t xml:space="preserve">⚠ Note:</w:t>
      </w:r>
      <w:r>
        <w:t xml:space="preserve"> </w:t>
      </w:r>
      <w:r>
        <w:t xml:space="preserve">Forgetting unfiltered read on standard terminology causes empty dropdowns — a common multi-tenant misconfiguration.</w:t>
      </w:r>
    </w:p>
    <w:bookmarkEnd w:id="41"/>
    <w:bookmarkStart w:id="42" w:name="f.-role-aware-ui"/>
    <w:p>
      <w:pPr>
        <w:pStyle w:val="Heading2"/>
      </w:pPr>
      <w:r>
        <w:t xml:space="preserve">F. Role-Aware UI</w:t>
      </w:r>
    </w:p>
    <w:p>
      <w:pPr>
        <w:pStyle w:val="FirstParagraph"/>
      </w:pPr>
      <w:r>
        <w:rPr>
          <w:iCs/>
          <w:i/>
        </w:rPr>
        <w:t xml:space="preserve">If your frontend needs to show / hide UI based on the user’s role</w:t>
      </w:r>
    </w:p>
    <w:tbl>
      <w:tblPr>
        <w:tblStyle w:val="Table"/>
        <w:tblW w:w="9360" w:type="dxa"/>
        <w:tblLook w:firstRow="1" w:lastRow="0" w:firstColumn="0" w:lastColumn="0" w:noHBand="0" w:noVBand="0" w:val="0020"/>
        <w:jc w:val="start"/>
        <w:tblLayout w:type="fixed"/>
      </w:tblPr>
      <w:tblGrid>
        <w:gridCol w:w="4130"/>
        <w:gridCol w:w="5230"/>
      </w:tblGrid>
      <w:tr>
        <w:trPr>
          <w:cantSplit/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Approach</w:t>
            </w: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UI changes based on role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AccessPolicy.basedOn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/auth/me</w:t>
            </w:r>
          </w:p>
        </w:tc>
      </w:tr>
    </w:tbl>
    <w:p>
      <w:pPr>
        <w:pStyle w:val="BodyText"/>
      </w:pPr>
      <w:r>
        <w:t xml:space="preserve">Using</w:t>
      </w:r>
      <w:r>
        <w:t xml:space="preserve"> </w:t>
      </w:r>
      <w:r>
        <w:rPr>
          <w:rStyle w:val="VerbatimChar"/>
        </w:rPr>
        <w:t xml:space="preserve">AccessPolicy.basedOn</w:t>
      </w:r>
      <w:r>
        <w:t xml:space="preserve"> </w:t>
      </w:r>
      <w:r>
        <w:t xml:space="preserve">keeps the UI in sync with what the API enforces. The alternative (hardcoded role field, custom endpoint) tends to drift.</w:t>
      </w:r>
    </w:p>
    <w:bookmarkEnd w:id="42"/>
    <w:bookmarkEnd w:id="43"/>
    <w:sectPr>
      <w:pgSz w:h="15840" w:w="12240"/>
      <w:pgMar w:bottom="1440" w:footer="720" w:gutter="0" w:header="720" w:left="1440" w:right="1440" w:top="1440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oppins" w:cs="Poppins" w:eastAsia="Poppins" w:hAnsi="Poppins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="Poppins" w:cs="Poppins" w:eastAsia="Poppins" w:hAnsi="Poppins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Poppins" w:cs="Poppins" w:eastAsia="Poppins" w:hAnsi="Poppins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="Poppins" w:cs="Poppins" w:eastAsia="Poppins" w:hAnsi="Poppins"/>
      <w:color w:val="9C36B5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="Poppins" w:cs="Poppins" w:eastAsia="Poppins" w:hAnsi="Poppins"/>
      <w:color w:val="9C36B5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9C36B5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9C36B5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9C36B5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Poppins" w:cs="Poppins" w:eastAsia="Poppins" w:hAnsi="Poppins"/>
      <w:color w:val="9C36B5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Poppins" w:cs="Poppins" w:eastAsia="Poppins" w:hAnsi="Poppins"/>
      <w:color w:val="9C36B5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9C36B5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9C36B5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9C36B5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qFormat/>
    <w:tblPr>
      <w:tblInd w:type="dxa" w:w="0"/>
      <w:tblBorders>
        <w:top w:color="D9C9E8" w:space="0" w:sz="4" w:val="single"/>
        <w:left w:color="D9C9E8" w:space="0" w:sz="4" w:val="single"/>
        <w:bottom w:color="D9C9E8" w:space="0" w:sz="4" w:val="single"/>
        <w:right w:color="D9C9E8" w:space="0" w:sz="4" w:val="single"/>
        <w:insideH w:color="D9C9E8" w:space="0" w:sz="4" w:val="single"/>
        <w:insideV w:color="D9C9E8" w:space="0" w:sz="4" w:val="single"/>
      </w:tblBorders>
      <w:tblCellMar>
        <w:top w:type="dxa" w:w="60"/>
        <w:left w:type="dxa" w:w="108"/>
        <w:bottom w:type="dxa" w:w="60"/>
        <w:right w:type="dxa" w:w="108"/>
      </w:tblCellMar>
    </w:tblPr>
    <w:tblStylePr w:type="firstRow">
      <w:rPr>
        <w:b/>
        <w:color w:val="402C6E"/>
      </w:rPr>
      <w:tcPr>
        <w:shd w:color="auto" w:fill="EFE3F8" w:val="clear"/>
        <w:vAlign w:val="center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9C36B5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Poppins" w:cs="Poppins" w:eastAsia="Poppins" w:hAnsi="Poppins"/>
      <w:b w:val="0"/>
      <w:bCs w:val="0"/>
      <w:color w:val="9C36B5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3" Target="/docs/access" TargetMode="External" /><Relationship Type="http://schemas.openxmlformats.org/officeDocument/2006/relationships/hyperlink" Id="rId25" Target="/docs/access/multi-tenant-access-policy" TargetMode="External" /><Relationship Type="http://schemas.openxmlformats.org/officeDocument/2006/relationships/hyperlink" Id="rId39" Target="/docs/api/fhir/operations/set-accounts" TargetMode="External" /><Relationship Type="http://schemas.openxmlformats.org/officeDocument/2006/relationships/hyperlink" Id="rId26" Target="https://github.com/medplum/medplum-mso-demo/blob/main/src/utils/enrollment.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docs/access" TargetMode="External" /><Relationship Type="http://schemas.openxmlformats.org/officeDocument/2006/relationships/hyperlink" Id="rId25" Target="/docs/access/multi-tenant-access-policy" TargetMode="External" /><Relationship Type="http://schemas.openxmlformats.org/officeDocument/2006/relationships/hyperlink" Id="rId39" Target="/docs/api/fhir/operations/set-accounts" TargetMode="External" /><Relationship Type="http://schemas.openxmlformats.org/officeDocument/2006/relationships/hyperlink" Id="rId26" Target="https://github.com/medplum/medplum-mso-demo/blob/main/src/utils/enrollment.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